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0B1F3A"/>
          <w:sz w:val="96"/>
          <w:szCs w:val="96"/>
        </w:rPr>
        <w:t xml:space="preserve">SITAC NBQ</w:t>
      </w:r>
    </w:p>
    <w:p>
      <w:pPr>
        <w:spacing w:after="200"/>
        <w:jc w:val="center"/>
      </w:pPr>
      <w:r>
        <w:rPr>
          <w:color w:val="0E6BA8"/>
          <w:sz w:val="32"/>
          <w:szCs w:val="32"/>
        </w:rPr>
        <w:t xml:space="preserve">Sistema Táctico de Apoyo a la Decisión</w:t>
      </w:r>
    </w:p>
    <w:p>
      <w:pPr>
        <w:spacing w:after="80"/>
        <w:jc w:val="center"/>
      </w:pPr>
      <w:r>
        <w:rPr>
          <w:color w:val="475569"/>
          <w:sz w:val="26"/>
          <w:szCs w:val="26"/>
        </w:rPr>
        <w:t xml:space="preserve">Intervención NBQ y Mercancías Peligrosas</w:t>
      </w:r>
    </w:p>
    <w:p>
      <w:pPr>
        <w:spacing w:after="0" w:before="1600"/>
        <w:jc w:val="center"/>
      </w:pPr>
      <w:r>
        <w:rPr>
          <w:b/>
          <w:bCs/>
          <w:color w:val="222222"/>
          <w:sz w:val="28"/>
          <w:szCs w:val="28"/>
        </w:rPr>
        <w:t xml:space="preserve">MANUAL DE USUARIO Y REFERENCIA TÉCNICA</w:t>
      </w:r>
    </w:p>
    <w:p>
      <w:pPr>
        <w:spacing w:before="120"/>
        <w:jc w:val="center"/>
      </w:pPr>
      <w:r>
        <w:rPr>
          <w:color w:val="475569"/>
          <w:sz w:val="20"/>
          <w:szCs w:val="20"/>
        </w:rPr>
        <w:t xml:space="preserve">Versión de aplicación · junio 2026</w:t>
      </w:r>
    </w:p>
    <w:p>
      <w:pPr>
        <w:spacing w:after="0" w:before="400"/>
        <w:jc w:val="center"/>
      </w:pPr>
      <w:r>
        <w:rPr>
          <w:b/>
          <w:bCs/>
          <w:color w:val="0B1F3A"/>
          <w:sz w:val="24"/>
          <w:szCs w:val="24"/>
        </w:rPr>
        <w:t xml:space="preserve">Autor y creador:  NABIL NÚÑEZ</w:t>
      </w:r>
    </w:p>
    <w:p>
      <w:pPr>
        <w:spacing w:before="60"/>
        <w:jc w:val="center"/>
      </w:pPr>
      <w:r>
        <w:rPr>
          <w:i/>
          <w:iCs/>
          <w:color w:val="475569"/>
          <w:sz w:val="18"/>
          <w:szCs w:val="18"/>
        </w:rPr>
        <w:t xml:space="preserve">© Todos los derechos reservados al autor</w:t>
      </w:r>
    </w:p>
    <w:p>
      <w:pPr>
        <w:spacing w:before="1800"/>
        <w:jc w:val="center"/>
      </w:pPr>
      <w:r>
        <w:rPr>
          <w:b/>
          <w:bCs/>
          <w:color w:val="B91C1C"/>
          <w:sz w:val="16"/>
          <w:szCs w:val="16"/>
        </w:rPr>
        <w:t xml:space="preserve">DOCUMENTO DE APOYO — NO SUSTITUYE LA CONFIRMACIÓN ANALÍTICA DE CAMPO,</w:t>
      </w:r>
    </w:p>
    <w:p>
      <w:pPr>
        <w:jc w:val="center"/>
      </w:pPr>
      <w:r>
        <w:rPr>
          <w:b/>
          <w:bCs/>
          <w:color w:val="B91C1C"/>
          <w:sz w:val="16"/>
          <w:szCs w:val="16"/>
        </w:rPr>
        <w:t xml:space="preserve">EL BUMP TEST DE CONTRASTE NI EL CRITERIO DEL MANDO</w:t>
      </w:r>
    </w:p>
    <w:p>
      <w:r>
        <w:br w:type="page"/>
      </w:r>
    </w:p>
    <w:p>
      <w:pPr>
        <w:pStyle w:val="Heading1"/>
      </w:pPr>
      <w:r>
        <w:t xml:space="preserve">Índice</w:t>
      </w:r>
    </w:p>
    <w:sdt>
      <w:sdtPr>
        <w:alias w:val="Tabla de contenido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Introducción y propósito</w:t>
      </w:r>
    </w:p>
    <w:p>
      <w:pPr>
        <w:spacing w:after="120"/>
      </w:pPr>
      <w:r>
        <w:t xml:space="preserve">SITAC NBQ es una aplicación web progresiva (PWA) de apoyo a la decisión para la intervención en emergencias con materias peligrosas y agentes NBQ. Funciona en smartphone, tablet o portátil de mando, y está diseñada para uso en campo, incluso sin cobertura tras la primera carga.</w:t>
      </w:r>
    </w:p>
    <w:p>
      <w:pPr>
        <w:spacing w:after="120"/>
      </w:pPr>
      <w:r>
        <w:t xml:space="preserve">La herramienta integra el ciclo de decisión en un flujo único: identificación del gas a partir de detectores con corrección de interferencias por sensibilidad cruzada, identificación documental por número ONU, análisis de cobertura del sensor (medición directa, cruzada o imposible), predicción de subproductos de reacción según el contenedor, asignación de nivel de riesgo según umbrales EPA AEGL, zonificación táctica con anclaje normativo ERG 2024, modelización de la pluma (geométrica, gaussiana, gas denso y dinámica con topografía), meteorología automática con refresco periódico, composición de la orden inicial de mando (GOM) y un conjunto de utilidades operativas (cuadro de mando, registro, compartición y enlace COP).</w:t>
      </w:r>
    </w:p>
    <w:p>
      <w:pPr>
        <w:spacing w:after="120"/>
      </w:pPr>
      <w:r>
        <w:t xml:space="preserve">La interfaz se organiza en pantallas separadas para uso táctil en campo y dispone de un asistente guiado de siete pasos para conducir la intervención desde la identificación hasta la orden.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Filosofía de uso</w:t>
            </w:r>
          </w:p>
          <w:p>
            <w:r>
              <w:t xml:space="preserve">Toda salida es orientativa y se rige por el principio de máxima restricción: ante incertidumbre, se adopta siempre la hipótesis más desfavorable. Ningún resultado sustituye la medición de contraste ni la decisión del mando.</w:t>
            </w:r>
          </w:p>
        </w:tc>
      </w:tr>
    </w:tbl>
    <w:p>
      <w:pPr>
        <w:spacing w:after="120"/>
      </w:pPr>
      <w:r>
        <w:t xml:space="preserve"/>
      </w:r>
    </w:p>
    <w:p>
      <w:pPr>
        <w:pStyle w:val="Heading1"/>
      </w:pPr>
      <w:r>
        <w:t xml:space="preserve">Novedades de esta versión (junio 2026)</w:t>
      </w:r>
    </w:p>
    <w:p>
      <w:pPr>
        <w:spacing w:after="120"/>
      </w:pPr>
      <w:r>
        <w:t xml:space="preserve">Esta versión incorpora correcciones de fondo en el modelo de dispersión y una reorganización de la interfaz orientada a la lectura rápida en campo. Los cambios principales son:</w:t>
      </w:r>
    </w:p>
    <w:p>
      <w:pPr>
        <w:pStyle w:val="ListParagraph"/>
        <w:numPr>
          <w:ilvl w:val="0"/>
          <w:numId w:val="2"/>
        </w:numPr>
        <w:spacing w:after="60"/>
      </w:pPr>
      <w:r>
        <w:t xml:space="preserve">Base ampliada a 76 sustancias, con el alta del difluoruro de oxígeno (OF₂, UN 2190).</w:t>
      </w:r>
    </w:p>
    <w:p>
      <w:pPr>
        <w:pStyle w:val="ListParagraph"/>
        <w:numPr>
          <w:ilvl w:val="0"/>
          <w:numId w:val="2"/>
        </w:numPr>
        <w:spacing w:after="60"/>
      </w:pPr>
      <w:r>
        <w:t xml:space="preserve">Predominio del número ONU: la identificación documental prevalece sobre la inferencia de firma. Una lectura cruzada (por ejemplo, una celda de HF respondiendo al Cl₂) se atribuye a la sustancia identificada y no propone una sustancia distinta; sin identificación por ONU, sigue mandando el peor gas medido.</w:t>
      </w:r>
    </w:p>
    <w:p>
      <w:pPr>
        <w:pStyle w:val="ListParagraph"/>
        <w:numPr>
          <w:ilvl w:val="0"/>
          <w:numId w:val="2"/>
        </w:numPr>
        <w:spacing w:after="60"/>
      </w:pPr>
      <w:r>
        <w:t xml:space="preserve">Modelo de dispersión corregido para gases licuados a presión (cloro, amoniaco, dióxido de azufre, sulfuro de hidrógeno, fosgeno, acetileno y análogos): generan concentración por chorro aunque no se forme charco. Para líquidos muy volátiles (HF, HCN, NO₂, mercaptanos) el charco se estima a partir del caudal de fuga. En consecuencia, ningún tóxico devuelve concentración cero cuando el diámetro de charco es cero.</w:t>
      </w:r>
    </w:p>
    <w:p>
      <w:pPr>
        <w:pStyle w:val="ListParagraph"/>
        <w:numPr>
          <w:ilvl w:val="0"/>
          <w:numId w:val="2"/>
        </w:numPr>
        <w:spacing w:after="60"/>
      </w:pPr>
      <w:r>
        <w:t xml:space="preserve">Asistente de siete pasos más esquemático: un indicador superior persistente muestra el producto identificado, los detectores configurados, la detectabilidad (verde directa, ámbar cruzada, rojo no detectable) y las concentraciones estimada y leída. Se añaden autosaltos entre pasos y se han reducido los textos de ayuda.</w:t>
      </w:r>
    </w:p>
    <w:p>
      <w:pPr>
        <w:pStyle w:val="ListParagraph"/>
        <w:numPr>
          <w:ilvl w:val="0"/>
          <w:numId w:val="2"/>
        </w:numPr>
        <w:spacing w:after="60"/>
      </w:pPr>
      <w:r>
        <w:t xml:space="preserve">Cuadro de mando reordenado: Análisis, Zonas, Mapa, Meteo, Orden y Registro.</w:t>
      </w:r>
    </w:p>
    <w:p>
      <w:pPr>
        <w:pStyle w:val="ListParagraph"/>
        <w:numPr>
          <w:ilvl w:val="0"/>
          <w:numId w:val="2"/>
        </w:numPr>
        <w:spacing w:after="60"/>
      </w:pPr>
      <w:r>
        <w:t xml:space="preserve">Pantalla de Zonas con los resultados en primer plano (tasa de emisión, distancias AEGL, evolución de la pluma y tabla ERG) y la configuración recogida en un acordeón.</w:t>
      </w:r>
    </w:p>
    <w:p>
      <w:pPr>
        <w:pStyle w:val="ListParagraph"/>
        <w:numPr>
          <w:ilvl w:val="0"/>
          <w:numId w:val="2"/>
        </w:numPr>
        <w:spacing w:after="60"/>
      </w:pPr>
      <w:r>
        <w:t xml:space="preserve">Mapa simplificado: un único control de ubicación alterna entre «Centrar en GPS» y «Marcar ubicación» y, al elegir el punto, carga automáticamente la cartografía y la meteorología de esa coordenada; las herramientas avanzadas (topografía, simulación e importación ALOHA) se agrupan en un acordeón.</w:t>
      </w:r>
    </w:p>
    <w:p>
      <w:pPr>
        <w:pStyle w:val="ListParagraph"/>
        <w:numPr>
          <w:ilvl w:val="0"/>
          <w:numId w:val="2"/>
        </w:numPr>
        <w:spacing w:after="120"/>
      </w:pPr>
      <w:r>
        <w:t xml:space="preserve">Nueva pantalla de Bibliografía que consolida las fuentes y referencias normativas.</w:t>
      </w:r>
    </w:p>
    <w:p>
      <w:pPr>
        <w:pStyle w:val="ListParagraph"/>
        <w:numPr>
          <w:ilvl w:val="0"/>
          <w:numId w:val="2"/>
        </w:numPr>
        <w:spacing w:after="60"/>
      </w:pPr>
      <w:r>
        <w:t xml:space="preserve">Retención del terreno en el charco autoestimado: cuando el charco no se mide, la aplicación ya no reparte todo el líquido fugado en una película fina, sino que aplica una fracción de retención (suelo permeable rural ×0,45; pavimento urbano ×0,70), incluyendo así de forma indirecta la absorción del terreno, el drenaje y la evaporación previa. Esto evita sobrestimar las concentraciones cuando no hay charco medido.</w:t>
      </w:r>
    </w:p>
    <w:p>
      <w:pPr>
        <w:pStyle w:val="ListParagraph"/>
        <w:numPr>
          <w:ilvl w:val="0"/>
          <w:numId w:val="2"/>
        </w:numPr>
        <w:spacing w:after="60"/>
      </w:pPr>
      <w:r>
        <w:t xml:space="preserve">Deposición seca de la nube (deplección): modelo de «source depletion» de Chamberlain que reduce la concentración aguas abajo por absorción al suelo y a la vegetación, con velocidad de deposición propia de cada sustancia (alta en gases reactivos o solubles, casi nula en hidrocarburos e inertes).</w:t>
      </w:r>
    </w:p>
    <w:p>
      <w:pPr>
        <w:pStyle w:val="ListParagraph"/>
        <w:numPr>
          <w:ilvl w:val="0"/>
          <w:numId w:val="2"/>
        </w:numPr>
        <w:spacing w:after="120"/>
      </w:pPr>
      <w:r>
        <w:t xml:space="preserve">Lavado por lluvia (washout): eliminación de primer orden de la nube en función de la intensidad de precipitación y la solubilidad del gas; el campo de lluvia (mm/h) se autorrellena con la meteorología. La deposición seca y el lavado son opcionales (interruptor en la pantalla de Zonas) y están apagados por defecto para mantener el criterio conservador; al activarlos, acortan las distancias y los resultados lo indican.</w:t>
      </w:r>
    </w:p>
    <w:p>
      <w:pPr>
        <w:pStyle w:val="Heading1"/>
      </w:pPr>
      <w:r>
        <w:t xml:space="preserve">2. Instalación y primer uso</w:t>
      </w:r>
    </w:p>
    <w:p>
      <w:pPr>
        <w:pStyle w:val="Heading2"/>
      </w:pPr>
      <w:r>
        <w:t xml:space="preserve">2.1 Despliegue</w:t>
      </w:r>
    </w:p>
    <w:p>
      <w:pPr>
        <w:spacing w:after="120"/>
      </w:pPr>
      <w:r>
        <w:t xml:space="preserve">La aplicación se compone de cinco archivos que deben alojarse juntos en un servidor con HTTPS (GitHub Pages, Netlify, Vercel o servidor propio):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Archivo</w:t>
            </w:r>
          </w:p>
        </w:tc>
        <w:tc>
          <w:tcPr>
            <w:tcW w:type="dxa" w:w="63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Función</w:t>
            </w:r>
          </w:p>
        </w:tc>
      </w:tr>
      <w:tr>
        <w:tc>
          <w:tcPr>
            <w:tcW w:type="dxa" w:w="30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index.html</w:t>
            </w:r>
          </w:p>
        </w:tc>
        <w:tc>
          <w:tcPr>
            <w:tcW w:type="dxa" w:w="6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Aplicación completa</w:t>
            </w:r>
          </w:p>
        </w:tc>
      </w:tr>
      <w:tr>
        <w:tc>
          <w:tcPr>
            <w:tcW w:type="dxa" w:w="30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manifest.json</w:t>
            </w:r>
          </w:p>
        </w:tc>
        <w:tc>
          <w:tcPr>
            <w:tcW w:type="dxa" w:w="6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Manifiesto PWA (icono, nombre, modo standalone)</w:t>
            </w:r>
          </w:p>
        </w:tc>
      </w:tr>
      <w:tr>
        <w:tc>
          <w:tcPr>
            <w:tcW w:type="dxa" w:w="30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sw.js</w:t>
            </w:r>
          </w:p>
        </w:tc>
        <w:tc>
          <w:tcPr>
            <w:tcW w:type="dxa" w:w="6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Service Worker — funcionamiento offline</w:t>
            </w:r>
          </w:p>
        </w:tc>
      </w:tr>
      <w:tr>
        <w:tc>
          <w:tcPr>
            <w:tcW w:type="dxa" w:w="30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icono-192.png / icono-512.png</w:t>
            </w:r>
          </w:p>
        </w:tc>
        <w:tc>
          <w:tcPr>
            <w:tcW w:type="dxa" w:w="6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Iconos de instalación</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Requisito de HTTPS</w:t>
            </w:r>
          </w:p>
          <w:p>
            <w:r>
              <w:t xml:space="preserve">El GPS, la brújula y el Service Worker solo funcionan bajo HTTPS (o en http://localhost para pruebas). En http simple quedarán deshabilitados.</w:t>
            </w:r>
          </w:p>
        </w:tc>
      </w:tr>
    </w:tbl>
    <w:p>
      <w:pPr>
        <w:pStyle w:val="Heading2"/>
      </w:pPr>
      <w:r>
        <w:t xml:space="preserve">2.2 Instalación como app</w:t>
      </w:r>
    </w:p>
    <w:p>
      <w:pPr>
        <w:spacing w:after="120"/>
      </w:pPr>
      <w:r>
        <w:t xml:space="preserve">Abrir la URL en el navegador del dispositivo y elegir «Añadir a pantalla de inicio». La aplicación se instala como una app independiente y queda disponible offline tras la primera apertura con cobertura.</w:t>
      </w:r>
    </w:p>
    <w:p>
      <w:pPr>
        <w:pStyle w:val="Heading2"/>
      </w:pPr>
      <w:r>
        <w:t xml:space="preserve">2.3 Funcionamiento offline</w:t>
      </w:r>
    </w:p>
    <w:p>
      <w:pPr>
        <w:pStyle w:val="ListParagraph"/>
        <w:numPr>
          <w:ilvl w:val="0"/>
          <w:numId w:val="2"/>
        </w:numPr>
        <w:spacing w:after="60"/>
      </w:pPr>
      <w:r>
        <w:t xml:space="preserve">El núcleo de la aplicación y la librería de mapas quedan precargados en la instalación.</w:t>
      </w:r>
    </w:p>
    <w:p>
      <w:pPr>
        <w:pStyle w:val="ListParagraph"/>
        <w:numPr>
          <w:ilvl w:val="0"/>
          <w:numId w:val="2"/>
        </w:numPr>
        <w:spacing w:after="60"/>
      </w:pPr>
      <w:r>
        <w:t xml:space="preserve">Las teselas de mapa se cachean al navegarlas con cobertura: conviene recorrer la zona de intervención en el mapa antes de perder señal.</w:t>
      </w:r>
    </w:p>
    <w:p>
      <w:pPr>
        <w:pStyle w:val="ListParagraph"/>
        <w:numPr>
          <w:ilvl w:val="0"/>
          <w:numId w:val="2"/>
        </w:numPr>
        <w:spacing w:after="60"/>
      </w:pPr>
      <w:r>
        <w:t xml:space="preserve">El modelo de elevación (topografía) también se cachea, ya que el terreno no cambia.</w:t>
      </w:r>
    </w:p>
    <w:p>
      <w:pPr>
        <w:pStyle w:val="ListParagraph"/>
        <w:numPr>
          <w:ilvl w:val="0"/>
          <w:numId w:val="2"/>
        </w:numPr>
        <w:spacing w:after="60"/>
      </w:pPr>
      <w:r>
        <w:t xml:space="preserve">La meteorología automática requiere red y nunca se sirve caducada; sin cobertura, se introduce el viento manualmente.</w:t>
      </w:r>
    </w:p>
    <w:p>
      <w:r>
        <w:br w:type="page"/>
      </w:r>
    </w:p>
    <w:p>
      <w:pPr>
        <w:pStyle w:val="Heading1"/>
      </w:pPr>
      <w:r>
        <w:t xml:space="preserve">3. Flujo operativo paso a paso</w:t>
      </w:r>
    </w:p>
    <w:p>
      <w:pPr>
        <w:spacing w:after="120"/>
      </w:pPr>
      <w:r>
        <w:t xml:space="preserve">La aplicación está diseñada para guiar la intervención de principio a fin con un único hilo conductor, evitando el desplazamiento y la duplicidad de datos entre pantallas. El recorrido es: pantalla de bienvenida, asistente de siete pasos y, una vez obtenido el resultado, un menú de operación con las áreas de trabajo.</w:t>
      </w:r>
    </w:p>
    <w:p>
      <w:pPr>
        <w:pStyle w:val="Heading2"/>
      </w:pPr>
      <w:r>
        <w:t xml:space="preserve">3.1 Pantalla de bienvenida y guía rápida</w:t>
      </w:r>
    </w:p>
    <w:p>
      <w:pPr>
        <w:spacing w:after="120"/>
      </w:pPr>
      <w:r>
        <w:t xml:space="preserve">Al arrancar, la aplicación muestra una pantalla de bienvenida con una guía rápida del flujo, pensada para orientar antes de operar. Desde ella se accede al cuadro de mando, que resume el estado de la intervención: el nivel global de riesgo (con un semáforo permanente en la cabecera, visible en todas las pantallas), la concentración frente a los umbrales, el viento, la posición GPS y el temporizador de reevaluación. El cuadro de mando ofrece «Nueva intervención (guiada)», que abre el asistente, e «Ir a operación», que lleva al menú de áreas de trabajo cuando ya hay un análisis.</w:t>
      </w:r>
    </w:p>
    <w:p>
      <w:pPr>
        <w:pStyle w:val="Heading2"/>
      </w:pPr>
      <w:r>
        <w:t xml:space="preserve">3.2 Asistente guiado de siete pasos</w:t>
      </w:r>
    </w:p>
    <w:p>
      <w:pPr>
        <w:spacing w:after="120"/>
      </w:pPr>
      <w:r>
        <w:t xml:space="preserve">El asistente conduce la intervención por pantallas de un solo foco, con un único botón de avance en la parte inferior (fijo, siempre accesible). El recorrido consta de siete pasos:</w:t>
      </w:r>
    </w:p>
    <w:p>
      <w:pPr>
        <w:pStyle w:val="ListParagraph"/>
        <w:numPr>
          <w:ilvl w:val="0"/>
          <w:numId w:val="3"/>
        </w:numPr>
        <w:spacing w:after="60"/>
      </w:pPr>
      <w:r>
        <w:t xml:space="preserve">Sustancia (ONU): el asistente comienza identificando la sustancia por número ONU mediante teclado a pantalla completa. Al introducir un ONU válido, el producto queda fijado en el indicador superior persistente y el asistente avanza automáticamente al paso siguiente. Identificar la sustancia permite resaltar después qué celdas del detector pueden aportar lectura. Si no se conoce el ONU, puede saltarse este paso.</w:t>
      </w:r>
    </w:p>
    <w:p>
      <w:pPr>
        <w:pStyle w:val="ListParagraph"/>
        <w:numPr>
          <w:ilvl w:val="0"/>
          <w:numId w:val="3"/>
        </w:numPr>
        <w:spacing w:after="60"/>
      </w:pPr>
      <w:r>
        <w:t xml:space="preserve">Configuración de detectores: para cada detector (A principal y B de contraste opcional, presentados como acordeones plegables) se identifica el fabricante entre RAE, Dräger, MSA, Honeywell y Blackline y se marcan las celdas que monta el equipo. La celda de explosividad indica su tecnología real (LEL catalítico de perla, LEL infrarrojo o MPS). Los detectores elegidos y la detectabilidad de la sustancia (verde directa, ámbar cruzada, rojo no detectable) se reflejan en el indicador superior. Si se introdujo el ONU, las celdas que pueden aportar lectura se resaltan en color (ver sección 13).</w:t>
      </w:r>
    </w:p>
    <w:p>
      <w:pPr>
        <w:pStyle w:val="ListParagraph"/>
        <w:numPr>
          <w:ilvl w:val="0"/>
          <w:numId w:val="3"/>
        </w:numPr>
        <w:spacing w:after="60"/>
      </w:pPr>
      <w:r>
        <w:t xml:space="preserve">Meteorología: captura del viento real por GPS con un toque. La actualización automática cada 15 minutos viene activada por defecto y, al obtener la meteo, el asistente avanza automáticamente al paso siguiente. Si no procede, el botón «Continuar sin meteo» permite seguir sin ella (se usan valores por defecto). Los datos capturados se vuelcan a la zonificación, la pluma y el análisis.</w:t>
      </w:r>
    </w:p>
    <w:p>
      <w:pPr>
        <w:pStyle w:val="ListParagraph"/>
        <w:numPr>
          <w:ilvl w:val="0"/>
          <w:numId w:val="3"/>
        </w:numPr>
        <w:spacing w:after="60"/>
      </w:pPr>
      <w:r>
        <w:t xml:space="preserve">Tipo de contenedor/depósito: selección del envase o forma de almacenamiento. El diagnóstico de detectabilidad (directa, por sensibilidad cruzada o imposible) se muestra arriba, en el indicador superior con código de color, y se predicen los subproductos de reacción según el contenedor (ver sección 4).</w:t>
      </w:r>
    </w:p>
    <w:p>
      <w:pPr>
        <w:pStyle w:val="ListParagraph"/>
        <w:numPr>
          <w:ilvl w:val="0"/>
          <w:numId w:val="3"/>
        </w:numPr>
        <w:spacing w:after="60"/>
      </w:pPr>
      <w:r>
        <w:t xml:space="preserve">Equipos y lecturas: dividido en dos subpasos. En 5.1 se estima el derrame o la fuga y se introduce la distancia al foco; la concentración estimada aparece en el indicador superior y, al pulsar «Estimar por fuga/charco», el asistente salta automáticamente a 5.2 si hay detectores configurados o al paso 6 si no los hay (el botón muestra «Saltar sin estimar» mientras no se estime). En 5.2 se recogen las lecturas reales de cada celda; junto a cada una se muestra la lectura aproximada esperada —en verde la directa y en ámbar la de sensibilidad cruzada— y la concentración leída se refleja también en el indicador superior (ver sección 13).</w:t>
      </w:r>
    </w:p>
    <w:p>
      <w:pPr>
        <w:pStyle w:val="ListParagraph"/>
        <w:numPr>
          <w:ilvl w:val="0"/>
          <w:numId w:val="3"/>
        </w:numPr>
        <w:spacing w:after="60"/>
      </w:pPr>
      <w:r>
        <w:t xml:space="preserve">Sector/Actividad del incidente: selección del contexto del aviso mediante un selector. La elección se propaga al resto del análisis para corroborar la coherencia de los gases detectados con la firma del sector.</w:t>
      </w:r>
    </w:p>
    <w:p>
      <w:pPr>
        <w:pStyle w:val="ListParagraph"/>
        <w:numPr>
          <w:ilvl w:val="0"/>
          <w:numId w:val="3"/>
        </w:numPr>
        <w:spacing w:after="60"/>
      </w:pPr>
      <w:r>
        <w:t xml:space="preserve">Modelo de dispersión de la sustancia: la aplicación propone el modelo más adecuado según la tipología del producto (gaussiano para gas neutro o ligero, gas denso de Britter-McQuaid para vapores pesados, fase de chorro para fugas a presión). El usuario puede aceptarlo o cambiarlo.</w:t>
      </w:r>
    </w:p>
    <w:p>
      <w:pPr>
        <w:spacing w:after="120"/>
      </w:pPr>
      <w:r>
        <w:t xml:space="preserve">Al finalizar los siete pasos, la aplicación muestra el resultado: un semáforo de nivel de riesgo. Un único botón «Continuar» da paso al menú de operación.</w:t>
      </w:r>
    </w:p>
    <w:p>
      <w:pPr>
        <w:pStyle w:val="Heading2"/>
      </w:pPr>
      <w:r>
        <w:t xml:space="preserve">3.3 Menú de operación</w:t>
      </w:r>
    </w:p>
    <w:p>
      <w:pPr>
        <w:spacing w:after="120"/>
      </w:pPr>
      <w:r>
        <w:t xml:space="preserve">Tras el análisis se presenta un cuadro de mando con botones grandes en este orden: Análisis, Zonas, Mapa, Meteo, Orden y Registro. Cada botón abre una pantalla con contenido específico y sin duplicidades, lo que evita confusión sobre dónde está cada dato:</w:t>
      </w:r>
    </w:p>
    <w:p>
      <w:pPr>
        <w:pStyle w:val="ListParagraph"/>
        <w:numPr>
          <w:ilvl w:val="0"/>
          <w:numId w:val="2"/>
        </w:numPr>
        <w:spacing w:after="60"/>
      </w:pPr>
      <w:r>
        <w:t xml:space="preserve">Meteo: viento y condiciones atmosféricas, con captura por GPS y refresco automático. Es el único lugar donde se gestiona la meteorología.</w:t>
      </w:r>
    </w:p>
    <w:p>
      <w:pPr>
        <w:pStyle w:val="ListParagraph"/>
        <w:numPr>
          <w:ilvl w:val="0"/>
          <w:numId w:val="2"/>
        </w:numPr>
        <w:spacing w:after="60"/>
      </w:pPr>
      <w:r>
        <w:t xml:space="preserve">Análisis: semáforo de nivel, dictamen y, si se seleccionó sector, la corroboración. Los candidatos por probabilidad y la corroboración con el sector se consolidan en la pantalla de Compartir, junto al dictamen, para su revisión antes de enviarlo al mando.</w:t>
      </w:r>
    </w:p>
    <w:p>
      <w:pPr>
        <w:pStyle w:val="ListParagraph"/>
        <w:numPr>
          <w:ilvl w:val="0"/>
          <w:numId w:val="2"/>
        </w:numPr>
        <w:spacing w:after="60"/>
      </w:pPr>
      <w:r>
        <w:t xml:space="preserve">Zonas: la zonificación táctica con los resultados en primer plano (tasa de emisión, distancias AEGL caliente/templada/fría, evolución prevista de la pluma y tabla ERG). La configuración (viento, escenario ERG y modelo de dispersión) se recoge en un acordeón. No repite la meteorología, que tiene su propia pantalla.</w:t>
      </w:r>
    </w:p>
    <w:p>
      <w:pPr>
        <w:pStyle w:val="ListParagraph"/>
        <w:numPr>
          <w:ilvl w:val="0"/>
          <w:numId w:val="2"/>
        </w:numPr>
        <w:spacing w:after="60"/>
      </w:pPr>
      <w:r>
        <w:t xml:space="preserve">Mapa: el mapa de dispersión con la planta (vista cenital) y el perfil (alzado) de la pluma. Un único control de ubicación alterna entre «Centrar en GPS» y «Marcar ubicación»; al elegir el punto, carga automáticamente la cartografía y la meteorología de esa coordenada. El conmutador satélite/callejero y «Simular pluma» quedan a la vista, y las herramientas avanzadas (topografía DEM, importación y pasaporte ALOHA) se agrupan en un acordeón.</w:t>
      </w:r>
    </w:p>
    <w:p>
      <w:pPr>
        <w:pStyle w:val="ListParagraph"/>
        <w:numPr>
          <w:ilvl w:val="0"/>
          <w:numId w:val="2"/>
        </w:numPr>
        <w:spacing w:after="60"/>
      </w:pPr>
      <w:r>
        <w:t xml:space="preserve">Orden: compone la orden inicial GOM a partir del dictamen (ver sección 9).</w:t>
      </w:r>
    </w:p>
    <w:p>
      <w:pPr>
        <w:spacing w:after="120"/>
      </w:pPr>
      <w:r>
        <w:t xml:space="preserve">Un botón flotante de reanálisis, presente en el menú y en la pantalla de análisis, abre una ventana con cuatro vías de recálculo: por nueva lectura de sensor, por charco (evaporación), por fuga (caudal del orificio) y por forzado de la meteorología. Cualquiera de ellas recalcula el nivel, las zonas, el dictamen y la orden, y registra el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Sin duplicidades</w:t>
            </w:r>
          </w:p>
          <w:p>
            <w:r>
              <w:t xml:space="preserve">Cada dato vive en una sola pantalla: la meteo en Meteo, las zonas en Zonas, los candidatos en Compartir. Esto evita que un mismo valor aparezca en dos sitios con riesgo de incoherencia, un problema clásico de usabilidad al pasar de un panel de escritorio a una pantalla pequeña.</w:t>
            </w:r>
          </w:p>
        </w:tc>
      </w:tr>
    </w:tbl>
    <w:p>
      <w:r>
        <w:br w:type="page"/>
      </w:r>
    </w:p>
    <w:p>
      <w:pPr>
        <w:pStyle w:val="Heading1"/>
      </w:pPr>
      <w:r>
        <w:t xml:space="preserve">4. Identificación de gas y sensibilidad cruzada</w:t>
      </w:r>
    </w:p>
    <w:p>
      <w:pPr>
        <w:spacing w:after="120"/>
      </w:pPr>
      <w:r>
        <w:t xml:space="preserve">El motor cruza las lecturas de ambos detectores y resuelve las interferencias mutuas entre celdas electroquímicas antes de cualquier cálculo posterior.</w:t>
      </w:r>
    </w:p>
    <w:p>
      <w:pPr>
        <w:pStyle w:val="Heading2"/>
      </w:pPr>
      <w:r>
        <w:t xml:space="preserve">4.1 Matriz de respuesta cruzada</w:t>
      </w:r>
    </w:p>
    <w:p>
      <w:pPr>
        <w:spacing w:after="120"/>
      </w:pPr>
      <w:r>
        <w:t xml:space="preserve">Cada celda responde parcialmente a gases distintos del objetivo (por ejemplo, el H₂ satura el canal de CO; el H₂S falsea las celdas de Cl₂ y SO₂). La matriz de factores de respuesta se resuelve por iteración de Gauss-Seidel para estimar las concentraciones reales.</w:t>
      </w:r>
    </w:p>
    <w:p>
      <w:pPr>
        <w:pStyle w:val="Heading2"/>
      </w:pPr>
      <w:r>
        <w:t xml:space="preserve">4.2 Salvaguardas de seguridad</w:t>
      </w:r>
    </w:p>
    <w:p>
      <w:pPr>
        <w:pStyle w:val="ListParagraph"/>
        <w:numPr>
          <w:ilvl w:val="0"/>
          <w:numId w:val="2"/>
        </w:numPr>
        <w:spacing w:after="60"/>
      </w:pPr>
      <w:r>
        <w:rPr>
          <w:b/>
          <w:bCs/>
        </w:rPr>
        <w:t xml:space="preserve">No inventa detecciones: </w:t>
      </w:r>
      <w:r>
        <w:t xml:space="preserve">una celda a cero nunca produce una concentración positiva por compensación.</w:t>
      </w:r>
    </w:p>
    <w:p>
      <w:pPr>
        <w:pStyle w:val="ListParagraph"/>
        <w:numPr>
          <w:ilvl w:val="0"/>
          <w:numId w:val="2"/>
        </w:numPr>
        <w:spacing w:after="60"/>
      </w:pPr>
      <w:r>
        <w:rPr>
          <w:b/>
          <w:bCs/>
        </w:rPr>
        <w:t xml:space="preserve">Canales conocidos como interferentes: </w:t>
      </w:r>
      <w:r>
        <w:t xml:space="preserve">el H₂ y otros canales fiables se descuentan como concentración conocida.</w:t>
      </w:r>
    </w:p>
    <w:p>
      <w:pPr>
        <w:pStyle w:val="ListParagraph"/>
        <w:numPr>
          <w:ilvl w:val="0"/>
          <w:numId w:val="2"/>
        </w:numPr>
        <w:spacing w:after="60"/>
      </w:pPr>
      <w:r>
        <w:rPr>
          <w:b/>
          <w:bCs/>
        </w:rPr>
        <w:t xml:space="preserve">Avisos de supresión: </w:t>
      </w:r>
      <w:r>
        <w:t xml:space="preserve">si un gas presente puede estar restando señal a una celda que marca cero, se avisa de que la lectura nula no garantiza ausencia.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Contraste obligatorio</w:t>
            </w:r>
          </w:p>
          <w:p>
            <w:r>
              <w:t xml:space="preserve">Los valores corregidos son orientativos. Toda lectura debe contrastarse con bump test y, en su caso, con tubo colorimétrico o detector alternativo.</w:t>
            </w:r>
          </w:p>
        </w:tc>
      </w:tr>
    </w:tbl>
    <w:p>
      <w:pPr>
        <w:pStyle w:val="Heading2"/>
      </w:pPr>
      <w:r>
        <w:t xml:space="preserve">4.3 Cobertura del sensor y recomendación de equipo</w:t>
      </w:r>
    </w:p>
    <w:p>
      <w:pPr>
        <w:spacing w:after="120"/>
      </w:pPr>
      <w:r>
        <w:t xml:space="preserve">Cuando la sustancia se identifica por número ONU, la herramienta determina si los detectores pueden medirla y clasifica el caso en tres situaciones: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Situación</w:t>
            </w:r>
          </w:p>
        </w:tc>
        <w:tc>
          <w:tcPr>
            <w:tcW w:type="dxa" w:w="63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Significado y actuación</w:t>
            </w:r>
          </w:p>
        </w:tc>
      </w:tr>
      <w:tr>
        <w:tc>
          <w:tcPr>
            <w:tcW w:type="dxa" w:w="30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Medición directa</w:t>
            </w:r>
          </w:p>
        </w:tc>
        <w:tc>
          <w:tcPr>
            <w:tcW w:type="dxa" w:w="6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Existe una celda específica que lee el gas. Se preselecciona el equipo recomendado.</w:t>
            </w:r>
          </w:p>
        </w:tc>
      </w:tr>
      <w:tr>
        <w:tc>
          <w:tcPr>
            <w:tcW w:type="dxa" w:w="30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Sensibilidad cruzada</w:t>
            </w:r>
          </w:p>
        </w:tc>
        <w:tc>
          <w:tcPr>
            <w:tcW w:type="dxa" w:w="6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No hay celda propia, pero otra responde con un factor conocido. Se recomienda el equipo, se muestra el factor y se aplica la corrección al analizar.</w:t>
            </w:r>
          </w:p>
        </w:tc>
      </w:tr>
      <w:tr>
        <w:tc>
          <w:tcPr>
            <w:tcW w:type="dxa" w:w="30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Imposible detectar</w:t>
            </w:r>
          </w:p>
        </w:tc>
        <w:tc>
          <w:tcPr>
            <w:tcW w:type="dxa" w:w="6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Ninguna celda disponible responde. Se opta por el método más restrictivo o por la estimación por derrame/fuga.</w:t>
            </w:r>
          </w:p>
        </w:tc>
      </w:tr>
    </w:tbl>
    <w:p>
      <w:pPr>
        <w:spacing w:after="80"/>
      </w:pPr>
      <w:r>
        <w:t xml:space="preserve"/>
      </w:r>
    </w:p>
    <w:p>
      <w:pPr>
        <w:pStyle w:val="Heading2"/>
      </w:pPr>
      <w:r>
        <w:t xml:space="preserve">4.4 Probabilidad de corroboración y ppm esperadas</w:t>
      </w:r>
    </w:p>
    <w:p>
      <w:pPr>
        <w:spacing w:after="120"/>
      </w:pPr>
      <w:r>
        <w:t xml:space="preserve">En el caso de sensibilidad cruzada, la aplicación estima la probabilidad de que la lectura corrobore el producto declarado por el ONU (combinando la magnitud del factor cruzado y la ambigüedad cuando varias celdas compiten) e indica las ppm esperadas en cada sensor que responde al gas, para una concentración real de referencia. Esto permite contrastar lo que el detector muestra con lo que debería mostrar si la sustancia es la declarada.</w:t>
      </w:r>
    </w:p>
    <w:p>
      <w:pPr>
        <w:pStyle w:val="Heading2"/>
      </w:pPr>
      <w:r>
        <w:t xml:space="preserve">4.5 Subproductos de reacción según el contenedor</w:t>
      </w:r>
    </w:p>
    <w:p>
      <w:pPr>
        <w:spacing w:after="120"/>
      </w:pPr>
      <w:r>
        <w:t xml:space="preserve">A partir del envase o forma de almacenamiento (cisterna de acero, inoxidable, aluminio, presurizada, depósito fijo, IBC de plástico, tubería o granel), la herramienta predice subproductos peligrosos de reacciones documentadas e indica con qué sensor detectarlos. El material de contacto define la reacción: un ácido sobre acero o aluminio libera hidrógeno (riesgo explosivo, detectable con MPS); una base fuerte sobre aluminio también; el ácido clorhídrico desprende niebla de HCl; el ácido nítrico, óxidos de nitrógeno; un contenido presurizado advierte de liberación súbita y riesgo de BLEVE.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Predicción cualitativa</w:t>
            </w:r>
          </w:p>
          <w:p>
            <w:r>
              <w:t xml:space="preserve">La predicción de subproductos es cualitativa: indica qué gas esperar y su peligro, no su cantidad exacta, que depende de la concentración, la temperatura y la superficie de contacto. La estimación por derrame es de gabinete y de alta incertidumbre.</w:t>
            </w:r>
          </w:p>
        </w:tc>
      </w:tr>
    </w:tbl>
    <w:p>
      <w:pPr>
        <w:pStyle w:val="Heading2"/>
      </w:pPr>
      <w:r>
        <w:t xml:space="preserve">4.6 Sensor MPS: medición en % LEL, no en ppm</w:t>
      </w:r>
    </w:p>
    <w:p>
      <w:pPr>
        <w:spacing w:after="120"/>
      </w:pPr>
      <w:r>
        <w:t xml:space="preserve">El sensor MPS de NevadaNano mide explosividad: su lectura es el porcentaje del límite inferior de explosividad (% LEL), no una concentración tóxica en ppm. Son magnitudes físicas distintas y no deben confundirse: un gas puede estar muy por debajo de su LEL y aun así ser tóxico, o al contrario. La aplicación trata el canal MPS íntegramente en % LEL, sin convertirlo a ppm.</w:t>
      </w:r>
    </w:p>
    <w:p>
      <w:pPr>
        <w:spacing w:after="120"/>
      </w:pPr>
      <w:r>
        <w:t xml:space="preserve">El nivel de riesgo del canal MPS se asigna según las alarmas habituales del equipo y el criterio ATEX: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400"/>
        <w:gridCol w:w="1400"/>
        <w:gridCol w:w="4460"/>
      </w:tblGrid>
      <w:tr>
        <w:trPr>
          <w:tblHeader/>
        </w:trPr>
        <w:tc>
          <w:tcPr>
            <w:tcW w:type="dxa" w:w="21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Lectura MPS</w:t>
            </w:r>
          </w:p>
        </w:tc>
        <w:tc>
          <w:tcPr>
            <w:tcW w:type="dxa" w:w="1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Alarma</w:t>
            </w:r>
          </w:p>
        </w:tc>
        <w:tc>
          <w:tcPr>
            <w:tcW w:type="dxa" w:w="1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Nivel</w:t>
            </w:r>
          </w:p>
        </w:tc>
        <w:tc>
          <w:tcPr>
            <w:tcW w:type="dxa" w:w="44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Lectura táctica</w:t>
            </w:r>
          </w:p>
        </w:tc>
      </w:tr>
      <w:tr>
        <w:tc>
          <w:tcPr>
            <w:tcW w:type="dxa" w:w="2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&lt; 20 % LEL</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w:t>
            </w:r>
          </w:p>
        </w:tc>
        <w:tc>
          <w:tcPr>
            <w:tcW w:type="dxa" w:w="4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Vigilancia.</w:t>
            </w:r>
          </w:p>
        </w:tc>
      </w:tr>
      <w:tr>
        <w:tc>
          <w:tcPr>
            <w:tcW w:type="dxa" w:w="2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20 % LEL</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A1</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NII</w:t>
            </w:r>
          </w:p>
        </w:tc>
        <w:tc>
          <w:tcPr>
            <w:tcW w:type="dxa" w:w="44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Alerta de explosividad.</w:t>
            </w:r>
          </w:p>
        </w:tc>
      </w:tr>
      <w:tr>
        <w:tc>
          <w:tcPr>
            <w:tcW w:type="dxa" w:w="2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 40 % LEL</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A2</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NIII</w:t>
            </w:r>
          </w:p>
        </w:tc>
        <w:tc>
          <w:tcPr>
            <w:tcW w:type="dxa" w:w="4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Atmósfera explosiva — evacuar y eliminar focos de ignición.</w:t>
            </w:r>
          </w:p>
        </w:tc>
      </w:tr>
      <w:tr>
        <w:tc>
          <w:tcPr>
            <w:tcW w:type="dxa" w:w="2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50 % LEL</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NIII+</w:t>
            </w:r>
          </w:p>
        </w:tc>
        <w:tc>
          <w:tcPr>
            <w:tcW w:type="dxa" w:w="44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Riesgo de deflagración — exclusión ATEX.</w:t>
            </w:r>
          </w:p>
        </w:tc>
      </w:tr>
    </w:tbl>
    <w:p>
      <w:pPr>
        <w:spacing w:after="80"/>
      </w:pPr>
      <w:r>
        <w:t xml:space="preserve"/>
      </w:r>
    </w:p>
    <w:p>
      <w:pPr>
        <w:spacing w:after="120"/>
      </w:pPr>
      <w:r>
        <w:t xml:space="preserve">Si hay una lectura de MPS sin sustancia identificada por ONU, la aplicación la presenta como gas o vapor inflamable sin especiar, avisando del riesgo de explosividad e invitando a identificar la sustancia, ya que el MPS no distingue de qué mezcla se trata.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Explosividad frente a toxicidad</w:t>
            </w:r>
          </w:p>
          <w:p>
            <w:r>
              <w:t xml:space="preserve">El MPS cubre el riesgo de explosión, no el tóxico. Para sustancias tóxicas se requiere la celda electroquímica correspondiente. Las alarmas A1 (20 %) y A2 (40 %) son valores habituales de configuración; verifique los de su equipo.</w:t>
            </w:r>
          </w:p>
        </w:tc>
      </w:tr>
    </w:tbl>
    <w:p>
      <w:r>
        <w:br w:type="page"/>
      </w:r>
    </w:p>
    <w:p>
      <w:pPr>
        <w:pStyle w:val="Heading1"/>
      </w:pPr>
      <w:r>
        <w:t xml:space="preserve">5. Identificación por número ONU</w:t>
      </w:r>
    </w:p>
    <w:p>
      <w:pPr>
        <w:spacing w:after="120"/>
      </w:pPr>
      <w:r>
        <w:t xml:space="preserve">Cuando la sustancia se conoce documentalmente (panel naranja, carta de porte, etiqueta), su número ONU permite cargar directamente sus propiedades y preparar la medición.</w:t>
      </w:r>
    </w:p>
    <w:p>
      <w:pPr>
        <w:pStyle w:val="Heading2"/>
      </w:pPr>
      <w:r>
        <w:t xml:space="preserve">5.1 Qué hace al introducir el ONU</w:t>
      </w:r>
    </w:p>
    <w:p>
      <w:pPr>
        <w:pStyle w:val="ListParagraph"/>
        <w:numPr>
          <w:ilvl w:val="0"/>
          <w:numId w:val="3"/>
        </w:numPr>
        <w:spacing w:after="60"/>
      </w:pPr>
      <w:r>
        <w:t xml:space="preserve">Carga las propiedades fisicoquímicas: peso molecular, densidad de vapor relativa al aire, estado físico, comportamiento (gas pesado que sigue el terreno o ligero que asciende), umbral AEGL-3 y guía ERG.</w:t>
      </w:r>
    </w:p>
    <w:p>
      <w:pPr>
        <w:pStyle w:val="ListParagraph"/>
        <w:numPr>
          <w:ilvl w:val="0"/>
          <w:numId w:val="3"/>
        </w:numPr>
        <w:spacing w:after="60"/>
      </w:pPr>
      <w:r>
        <w:t xml:space="preserve">Identifica y resalta el sensor principal que mide ese gas en el detector, junto con los canales que pueden presentar respuesta cruzada.</w:t>
      </w:r>
    </w:p>
    <w:p>
      <w:pPr>
        <w:pStyle w:val="ListParagraph"/>
        <w:numPr>
          <w:ilvl w:val="0"/>
          <w:numId w:val="3"/>
        </w:numPr>
        <w:spacing w:after="60"/>
      </w:pPr>
      <w:r>
        <w:t xml:space="preserve">Autoselecciona la configuración del detector que incluye ese canal si la activa no lo tiene.</w:t>
      </w:r>
    </w:p>
    <w:p>
      <w:pPr>
        <w:pStyle w:val="ListParagraph"/>
        <w:numPr>
          <w:ilvl w:val="0"/>
          <w:numId w:val="3"/>
        </w:numPr>
        <w:spacing w:after="60"/>
      </w:pPr>
      <w:r>
        <w:t xml:space="preserve">Ofrece entrada manual de concentración, imprescindible para compuestos sin celda directa (fosgeno, formaldehído, ozono), recomendando tubo colorimétrico o PID con factor de corrección.</w:t>
      </w:r>
    </w:p>
    <w:p>
      <w:pPr>
        <w:pStyle w:val="ListParagraph"/>
        <w:numPr>
          <w:ilvl w:val="0"/>
          <w:numId w:val="3"/>
        </w:numPr>
        <w:spacing w:after="60"/>
      </w:pPr>
      <w:r>
        <w:t xml:space="preserve">Con «Analizar», fuerza ese compuesto con prioridad máxima: la identificación documental prevalece sobre la inferencia de firma.</w:t>
      </w:r>
    </w:p>
    <w:p>
      <w:pPr>
        <w:pStyle w:val="Heading2"/>
      </w:pPr>
      <w:r>
        <w:t xml:space="preserve">5.2 Propiedades fisicoquímicas incorporadas</w:t>
      </w:r>
    </w:p>
    <w:p>
      <w:pPr>
        <w:spacing w:after="120"/>
      </w:pPr>
      <w:r>
        <w:t xml:space="preserve">La base incluye, entre otros: Cl₂, NH₃, H₂S, HCN, SO₂, HF, CO, HCl, NO₂, O₃, formaldehído, fosgeno, peróxido de hidrógeno, mercaptanos, H₂, gas natural, propano y butano. Cada uno con peso molecular y densidad de vapor para los cálculos de conversión y comportamiento.</w:t>
      </w:r>
    </w:p>
    <w:p>
      <w:r>
        <w:br w:type="page"/>
      </w:r>
    </w:p>
    <w:p>
      <w:pPr>
        <w:pStyle w:val="Heading1"/>
      </w:pPr>
      <w:r>
        <w:t xml:space="preserve">6. Modelización de la pluma</w:t>
      </w:r>
    </w:p>
    <w:p>
      <w:pPr>
        <w:spacing w:after="120"/>
      </w:pPr>
      <w:r>
        <w:t xml:space="preserve">La aplicación ofrece tres niveles de modelización, de menor a mayor sofisticación, todos como apoyo orientativo.</w:t>
      </w:r>
    </w:p>
    <w:p>
      <w:pPr>
        <w:pStyle w:val="Heading2"/>
      </w:pPr>
      <w:r>
        <w:t xml:space="preserve">6.1 Modelo geométrico (orientativo)</w:t>
      </w:r>
    </w:p>
    <w:p>
      <w:pPr>
        <w:spacing w:after="120"/>
      </w:pPr>
      <w:r>
        <w:t xml:space="preserve">Decaimiento de concentración hacia los isopletos AEGL-1/2/3, modulado por viento y escala de sector, con anclaje en la Tabla 1 del ERG 2024 (aislamiento inicial y distancias de acción protectora día/noche).</w:t>
      </w:r>
    </w:p>
    <w:p>
      <w:pPr>
        <w:pStyle w:val="Heading2"/>
      </w:pPr>
      <w:r>
        <w:t xml:space="preserve">6.2 Modelo gaussiano (Pasquill-Gifford + Briggs)</w:t>
      </w:r>
    </w:p>
    <w:p>
      <w:pPr>
        <w:spacing w:after="120"/>
      </w:pPr>
      <w:r>
        <w:t xml:space="preserve">Modelo de pluma continua a nivel del suelo con reflexión. A partir de la lectura del detector y la distancia al foco, estima la tasa de emisión Q por cálculo inverso, y proyecta las distancias a cada umbral AEGL aguas abajo. Un selector permite forzar el modelo gaussiano, el de gas denso, o dejarlo en automático (gas denso si la densidad de vapor supera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Parámetro</w:t>
            </w:r>
          </w:p>
        </w:tc>
        <w:tc>
          <w:tcPr>
            <w:tcW w:type="dxa" w:w="67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Descripción</w:t>
            </w:r>
          </w:p>
        </w:tc>
      </w:tr>
      <w:tr>
        <w:tc>
          <w:tcPr>
            <w:tcW w:type="dxa" w:w="26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Estabilidad Pasquill</w:t>
            </w:r>
          </w:p>
        </w:tc>
        <w:tc>
          <w:tcPr>
            <w:tcW w:type="dxa" w:w="67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Clases A (muy inestable) a F (muy estable), automática según viento, día/noche e insolación, o manual.</w:t>
            </w:r>
          </w:p>
        </w:tc>
      </w:tr>
      <w:tr>
        <w:tc>
          <w:tcPr>
            <w:tcW w:type="dxa" w:w="26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Rugosidad</w:t>
            </w:r>
          </w:p>
        </w:tc>
        <w:tc>
          <w:tcPr>
            <w:tcW w:type="dxa" w:w="67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Coeficientes de Briggs rural o urbano.</w:t>
            </w:r>
          </w:p>
        </w:tc>
      </w:tr>
      <w:tr>
        <w:tc>
          <w:tcPr>
            <w:tcW w:type="dxa" w:w="26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Modelo de gas denso</w:t>
            </w:r>
          </w:p>
        </w:tc>
        <w:tc>
          <w:tcPr>
            <w:tcW w:type="dxa" w:w="67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Corrección de Britter-McQuaid (la física que usa ALOHA): para densidad de vapor &gt; 1 alarga el alcance a baja cota y ensancha la huella respecto al gaussiano pasivo.</w:t>
            </w:r>
          </w:p>
        </w:tc>
      </w:tr>
      <w:tr>
        <w:tc>
          <w:tcPr>
            <w:tcW w:type="dxa" w:w="26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Salida</w:t>
            </w:r>
          </w:p>
        </w:tc>
        <w:tc>
          <w:tcPr>
            <w:tcW w:type="dxa" w:w="67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Q estimada (kg/h) y distancias AEGL-1/2/3.</w:t>
            </w:r>
          </w:p>
        </w:tc>
      </w:tr>
    </w:tbl>
    <w:p>
      <w:pPr>
        <w:spacing w:after="80"/>
      </w:pPr>
      <w:r>
        <w:t xml:space="preserve"/>
      </w:r>
    </w:p>
    <w:p>
      <w:pPr>
        <w:pStyle w:val="Heading2"/>
      </w:pPr>
      <w:r>
        <w:t xml:space="preserve">6.3 Modelo de gas denso (aproximación tipo ALOHA)</w:t>
      </w:r>
    </w:p>
    <w:p>
      <w:pPr>
        <w:spacing w:after="120"/>
      </w:pPr>
      <w:r>
        <w:t xml:space="preserve">Para gases más pesados que el aire (cloro, dióxido de azufre, fosgeno, hidrocarburos pesados), la app aplica la correlación de Britter-McQuaid, basada en el número de Richardson de la fuente. Es la misma física que emplea ALOHA para gas pesado: la nube se mantiene a ras de suelo, se diluye más despacio y produce zonas más largas y más anchas que un gaussiano pasivo. Se presenta como una corrección acotada y trazable sobre el gaussiano, no como un modelo independiente certificado.</w:t>
      </w:r>
    </w:p>
    <w:p>
      <w:pPr>
        <w:pStyle w:val="Heading2"/>
      </w:pPr>
      <w:r>
        <w:t xml:space="preserve">6.4 Deposición y lavado de la nube (deplección)</w:t>
      </w:r>
    </w:p>
    <w:p>
      <w:pPr>
        <w:spacing w:after="120"/>
      </w:pPr>
      <w:r>
        <w:t xml:space="preserve">Opcionalmente, la aplicación contempla que la nube pierde masa al avanzar, lo que reduce la concentración aguas abajo. Es un refinamiento que se activa con un interruptor en la pantalla de Zonas y está apagado por defecto, porque acorta las distancias de peligro y el criterio por defecto debe ser conservador (como ALOHA). Cuando está activo, los resultados lo indican expresamente.</w:t>
      </w:r>
    </w:p>
    <w:p>
      <w:pPr>
        <w:spacing w:after="120"/>
      </w:pPr>
      <w:r>
        <w:t xml:space="preserve">Deposición seca: modelo de «source depletion» de Chamberlain para fuente a ras de suelo, que descuenta del caudal efectivo la fracción depositada sobre el suelo y la vegetación a lo largo del recorrido, integrando la dispersión vertical de la pluma. Cada sustancia tiene una velocidad de deposición propia: alta en gases reactivos o muy solubles (cloro, ácido fluorhídrico, amoniaco, dióxido de azufre, óxidos de nitrógeno, ácidos) y casi nula en hidrocarburos e inertes. El efecto es pequeño cerca del foco y crece con la distancia.</w:t>
      </w:r>
    </w:p>
    <w:p>
      <w:pPr>
        <w:spacing w:after="120"/>
      </w:pPr>
      <w:r>
        <w:t xml:space="preserve">Lavado por lluvia (washout): cuando hay precipitación, la lluvia arrastra el gas hacia el suelo. Se modela como una eliminación de primer orden a lo largo del recorrido, con un coeficiente de lavado proporcional a la intensidad de lluvia (mm/h) y a la solubilidad del gas. El campo de lluvia se autorrellena con la meteorología (precipitación de Open-Meteo) y puede ajustarse a mano. Para gases muy solubles y lluvia moderada, el lavado recorta las zonas lejanas de forma apreciable, bastante más que la deposición seca; en gases poco solubles apenas tiene efecto.</w:t>
      </w:r>
    </w:p>
    <w:p>
      <w:pPr>
        <w:pStyle w:val="Heading2"/>
      </w:pPr>
      <w:r>
        <w:t xml:space="preserve">6.5 Modelo dinámico de puffs con topografía</w:t>
      </w:r>
    </w:p>
    <w:p>
      <w:pPr>
        <w:spacing w:after="120"/>
      </w:pPr>
      <w:r>
        <w:t xml:space="preserve">La fuente emite paquetes de gas a intervalos; cada puff se advecta con el viento y crece según la dispersión Pasquill, paso a paso. El resultado es un reproductor temporal (+5/10/15/20/30 min) que muestra la evolución de la nube, el frente de llegada y el efecto de un rol de viento.</w:t>
      </w:r>
    </w:p>
    <w:p>
      <w:pPr>
        <w:spacing w:after="120"/>
      </w:pPr>
      <w:r>
        <w:t xml:space="preserve">La topografía se descarga como modelo de elevación (DEM) real y se superpone al mapa. Para gases densos, los puffs se desvían hacia las cotas bajas (canalización por gravedad).</w:t>
      </w:r>
    </w:p>
    <w:p>
      <w:pPr>
        <w:pStyle w:val="Heading2"/>
      </w:pPr>
      <w:r>
        <w:t xml:space="preserve">6.6 Vista de planta y perfil de la pluma</w:t>
      </w:r>
    </w:p>
    <w:p>
      <w:pPr>
        <w:spacing w:after="120"/>
      </w:pPr>
      <w:r>
        <w:t xml:space="preserve">Junto al mapa, un cuadro partido muestra la pluma en planta (cenital) y en perfil (alzado), sincronizados con el reproductor temporal. El perfil representa la envolvente vertical de la nube con física diferenciada según su densidad efectiva:</w:t>
      </w:r>
    </w:p>
    <w:p>
      <w:pPr>
        <w:pStyle w:val="ListParagraph"/>
        <w:numPr>
          <w:ilvl w:val="0"/>
          <w:numId w:val="2"/>
        </w:numPr>
        <w:spacing w:after="60"/>
      </w:pPr>
      <w:r>
        <w:t xml:space="preserve">Gases densos (vapor más pesado que el aire): la nube se mantiene a ras de suelo, con dispersión vertical suprimida (no asciende) y ensanchamiento lateral por gravedad (slumping). Es el comportamiento de líquido-gas pesado que sigue el terreno.</w:t>
      </w:r>
    </w:p>
    <w:p>
      <w:pPr>
        <w:pStyle w:val="ListParagraph"/>
        <w:numPr>
          <w:ilvl w:val="0"/>
          <w:numId w:val="2"/>
        </w:numPr>
        <w:spacing w:after="60"/>
      </w:pPr>
      <w:r>
        <w:t xml:space="preserve">Gases neutros: dispersión vertical pasiva normal (≈ 2·σz).</w:t>
      </w:r>
    </w:p>
    <w:p>
      <w:pPr>
        <w:pStyle w:val="ListParagraph"/>
        <w:numPr>
          <w:ilvl w:val="0"/>
          <w:numId w:val="2"/>
        </w:numPr>
        <w:spacing w:after="60"/>
      </w:pPr>
      <w:r>
        <w:t xml:space="preserve">Gases ligeros: la nube se eleva y despega del suelo.</w:t>
      </w:r>
    </w:p>
    <w:p>
      <w:pPr>
        <w:spacing w:after="120"/>
      </w:pPr>
      <w:r>
        <w:t xml:space="preserve">La densidad efectiva incorpora la temperatura y la humedad: un gas frío es más denso y un aire húmedo realza el contraste de densidad, de modo que un mismo gas pesado se achata y ensancha más en condiciones frías y húmedas. Tanto en planta como en perfil se sombrean las zonas con el código de colores de la EPA: roja (caliente), naranja (templada) y amarilla (fría), con sus líneas de límite a las distancias calculadas.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Corrección de comportamiento</w:t>
            </w:r>
          </w:p>
          <w:p>
            <w:r>
              <w:t xml:space="preserve">Las versiones anteriores podían representar la nube de un gas denso ascendiendo, lo que es físicamente incorrecto. El perfil actual ancla los gases densos al suelo y reserva la elevación para los gases ligeros.</w:t>
            </w:r>
          </w:p>
        </w:tc>
      </w:tr>
    </w:tbl>
    <w:p>
      <w:pPr>
        <w:pStyle w:val="Heading2"/>
      </w:pPr>
      <w:r>
        <w:t xml:space="preserve">6.6 Fase de jet en fugas a presión</w:t>
      </w:r>
    </w:p>
    <w:p>
      <w:pPr>
        <w:spacing w:after="120"/>
      </w:pPr>
      <w:r>
        <w:t xml:space="preserve">Cuando la fuga procede de un contenedor a presión (cisterna presurizada, cilindro, gas licuado), el perfil de la pluma reproduce las tres fases físicas de un chorro:</w:t>
      </w:r>
    </w:p>
    <w:p>
      <w:pPr>
        <w:pStyle w:val="ListParagraph"/>
        <w:numPr>
          <w:ilvl w:val="0"/>
          <w:numId w:val="3"/>
        </w:numPr>
        <w:spacing w:after="60"/>
      </w:pPr>
      <w:r>
        <w:t xml:space="preserve">Fase de jet: cerca del foco, el momento de salida impulsa el gas hacia arriba. La altura sube hasta un máximo cuya cota y distancia crecen con la presión de transporte.</w:t>
      </w:r>
    </w:p>
    <w:p>
      <w:pPr>
        <w:pStyle w:val="ListParagraph"/>
        <w:numPr>
          <w:ilvl w:val="0"/>
          <w:numId w:val="3"/>
        </w:numPr>
        <w:spacing w:after="60"/>
      </w:pPr>
      <w:r>
        <w:t xml:space="preserve">Transición: el chorro pierde momento, arrastra aire y la altura decae con la distancia.</w:t>
      </w:r>
    </w:p>
    <w:p>
      <w:pPr>
        <w:pStyle w:val="ListParagraph"/>
        <w:numPr>
          <w:ilvl w:val="0"/>
          <w:numId w:val="3"/>
        </w:numPr>
        <w:spacing w:after="60"/>
      </w:pPr>
      <w:r>
        <w:t xml:space="preserve">Dispersión pasiva: ya sin momento, gobierna la densidad efectiva. Un gas denso vuelve a caer al suelo; un gas ligero o calentado vuelve a ascender por flotabilidad; un gas neutro se dispersa según Pasquill.</w:t>
      </w:r>
    </w:p>
    <w:p>
      <w:pPr>
        <w:spacing w:after="120"/>
      </w:pPr>
      <w:r>
        <w:t xml:space="preserve">La presión de transporte se infiere del contenedor seleccionado y de las propiedades de la sustancia, y determina tanto la velocidad de salida (ecuación de descarga) como la altura y el alcance del chorro. El diagrama señala la fase de jet cuando está activa.</w:t>
      </w:r>
    </w:p>
    <w:p>
      <w:pPr>
        <w:pStyle w:val="Heading2"/>
      </w:pPr>
      <w:r>
        <w:t xml:space="preserve">6.7 Influencia del terreno en la planta y el perfil</w:t>
      </w:r>
    </w:p>
    <w:p>
      <w:pPr>
        <w:spacing w:after="120"/>
      </w:pPr>
      <w:r>
        <w:t xml:space="preserve">Cuando se ha cargado la topografía (modelo digital de elevaciones), un gas denso que se comporta como líquido fluye siguiendo el relieve, y ello se refleja en las dos vistas de la pluma. En el perfil, el suelo deja de ser una línea plana y dibuja el relieve real bajo la trayectoria: la nube se asienta sobre esa cota variable, baja con el terreno en las vallonadas y depresiones (donde el gas se hunde y acumula) y sube al remontar elevaciones. En la planta, la anchura se modula con el relieve: el gas denso se ensancha en las depresiones (se estanca) y se estrecha al cruzar elevaciones. La cuadrícula de elevación se dimensiona automáticamente al alcance previsto de la pluma en treinta minutos según el viento, para cubrir toda la zona de dispersión.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Resolución del terreno</w:t>
            </w:r>
          </w:p>
          <w:p>
            <w:r>
              <w:t xml:space="preserve">El modelo de elevación tiene una resolución de cientos de metros; capta valles y montes, no accidentes finos. La forma del comportamiento (el gas baja, se estanca, se ensancha en los bajos) es correcta, pero las cotas y anchuras exactas son orientativas.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Alcance honesto del modelo</w:t>
            </w:r>
          </w:p>
          <w:p>
            <w:pPr>
              <w:spacing w:after="60"/>
            </w:pPr>
            <w:r>
              <w:t xml:space="preserve">El modelo de puffs es un modelo lagrangiano real para advección, dispersión y rol de viento, muy superior a la cuña estática. La corrección de gas denso reproduce la física de Britter-McQuaid que usa ALOHA.</w:t>
            </w:r>
          </w:p>
          <w:p>
            <w:r>
              <w:rPr>
                <w:i/>
                <w:iCs/>
              </w:rPr>
              <w:t xml:space="preserve">Ni la corrección de gas denso ni la canalización topográfica equivalen a ALOHA, DEGADIS, SLAB ni a un CFD. Son aproximaciones para anticipar tendencias (hacia dónde tirará o girará la nube, cuánto más lejos llega un gas pesado), no predicción métrica exacta. Para la valoración oficial, use ALOHA e importe su huella.</w:t>
            </w:r>
          </w:p>
        </w:tc>
      </w:tr>
    </w:tbl>
    <w:p>
      <w:r>
        <w:br w:type="page"/>
      </w:r>
    </w:p>
    <w:p>
      <w:pPr>
        <w:pStyle w:val="Heading1"/>
      </w:pPr>
      <w:r>
        <w:t xml:space="preserve">7. Interoperabilidad con ALOHA y meteorología</w:t>
      </w:r>
    </w:p>
    <w:p>
      <w:pPr>
        <w:pStyle w:val="Heading2"/>
      </w:pPr>
      <w:r>
        <w:t xml:space="preserve">7.1 Importar la huella de ALOHA (KML)</w:t>
      </w:r>
    </w:p>
    <w:p>
      <w:pPr>
        <w:spacing w:after="120"/>
      </w:pPr>
      <w:r>
        <w:t xml:space="preserve">ALOHA es un programa de escritorio de la NOAA/EPA; no tiene servicio web, por lo que no puede llamarse en vivo. La app permite, en su lugar, importar la zona de amenaza que ALOHA exporta como KML (vía MARPLOT o Google Earth). Las zonas se dibujan sobre el mapa con los colores de ALOHA (rojo, naranja, amarillo por nivel), junto a las zonas propias. Si el KML viene con coordenadas relativas al origen, se reubica en el punto del incidente. Así se usa el ALOHA real en el PC para la valoración oficial y se trae el resultado a la herramienta de campo.</w:t>
      </w:r>
    </w:p>
    <w:p>
      <w:pPr>
        <w:pStyle w:val="Heading2"/>
      </w:pPr>
      <w:r>
        <w:t xml:space="preserve">7.2 Meteorología automática y evolución prevista</w:t>
      </w:r>
    </w:p>
    <w:p>
      <w:pPr>
        <w:spacing w:after="120"/>
      </w:pPr>
      <w:r>
        <w:t xml:space="preserve">Con un toque, la aplicación obtiene la posición GPS y descarga de Open-Meteo el viento, temperatura, humedad, presión y visibilidad de esa coordenada, rellenando los campos y trazando la pluma automáticamente.</w:t>
      </w:r>
    </w:p>
    <w:p>
      <w:pPr>
        <w:spacing w:after="120"/>
      </w:pPr>
      <w:r>
        <w:t xml:space="preserve">Además descarga el pronóstico horario y proyecta hacia dónde apuntará la pluma a +15 y +30 minutos. Si prevé un rol de viento de 30° por hora o más, emite el aviso «ROL DE VIENTO PREVISTO» indicando el nuevo sector a sotavento, para permitir la evacuación preventiva antes de que llegue el gas.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Vigencia</w:t>
            </w:r>
          </w:p>
          <w:p>
            <w:r>
              <w:t xml:space="preserve">Los umbrales AEGL son a 60 minutos y el viento puede rolar. Reobtenga la meteorología periódicamente y vigile el temporizador de reevaluación.</w:t>
            </w:r>
          </w:p>
        </w:tc>
      </w:tr>
    </w:tbl>
    <w:p>
      <w:r>
        <w:br w:type="page"/>
      </w:r>
    </w:p>
    <w:p>
      <w:pPr>
        <w:pStyle w:val="Heading1"/>
      </w:pPr>
      <w:r>
        <w:t xml:space="preserve">8. Utilidades operativas</w:t>
      </w:r>
    </w:p>
    <w:p>
      <w:pPr>
        <w:pStyle w:val="Heading2"/>
      </w:pPr>
      <w:r>
        <w:t xml:space="preserve">8.1 Estimación del tamaño del derrame y de la concentración</w:t>
      </w:r>
    </w:p>
    <w:p>
      <w:pPr>
        <w:spacing w:after="120"/>
      </w:pPr>
      <w:r>
        <w:t xml:space="preserve">El escenario ERG ofrece cinco tamaños predefinidos (goteo, pequeña, media, grande y catastrófica) más una opción de estimación a partir del diámetro del orificio y el tiempo de fuga. Esta estimación es además la vía para obtener una concentración orientativa cuando ningún sensor puede medir la sustancia (caso «imposible detectar»).</w:t>
      </w:r>
    </w:p>
    <w:p>
      <w:pPr>
        <w:spacing w:after="120"/>
      </w:pPr>
      <w:r>
        <w:t xml:space="preserve">La cadena de cálculo es: orificio y presión → caudal → emisión másica → dispersión gaussiana inversa → concentración (ppm). En detalle:</w:t>
      </w:r>
    </w:p>
    <w:p>
      <w:pPr>
        <w:pStyle w:val="ListParagraph"/>
        <w:numPr>
          <w:ilvl w:val="0"/>
          <w:numId w:val="3"/>
        </w:numPr>
        <w:spacing w:after="60"/>
      </w:pPr>
      <w:r>
        <w:t xml:space="preserve">Caudal por el orificio: con presión, mediante la ecuación de descarga de Bernoulli v=√(2·ΔP/ρ) usando la presión de transporte real; sin presión, por Torricelli con columna hidrostática. Los gases licuados, comprimidos o disueltos a presión (cloro, amoniaco, dióxido de azufre, sulfuro de hidrógeno, fosgeno, acetileno…) se reconocen como fuente a presión a partir de su presión de vapor real, de modo que generan caudal por chorro aunque no se forme charco.</w:t>
      </w:r>
    </w:p>
    <w:p>
      <w:pPr>
        <w:pStyle w:val="ListParagraph"/>
        <w:numPr>
          <w:ilvl w:val="0"/>
          <w:numId w:val="3"/>
        </w:numPr>
        <w:spacing w:after="60"/>
      </w:pPr>
      <w:r>
        <w:t xml:space="preserve">Evaporación del charco: basada en la presión de vapor real de la sustancia a la temperatura indicada (se duplica aproximadamente cada doce grados, según Clausius-Clapeyron linealizado). Así una gasolina evapora mucho y un gasóleo o un ácido sulfúrico apenas, como en la realidad. Para líquidos muy volátiles a presión atmosférica (HF, HCN, NO₂, mercaptanos) cuyo charco no se haya medido, la aplicación lo estima a partir del volumen fugado, de modo que la evaporación no resulte nula por falta de dato. En esa autoestimación se aplica además una fracción de retención del terreno (suelo permeable rural ×0,45; pavimento urbano ×0,70): no todo el líquido fugado forma charco evaporante, pues parte se absorbe o drena en el terreno y parte se evapora antes de estabilizarse. Si el operador mide el diámetro del charco, se respeta su medida sin aplicar la retención.</w:t>
      </w:r>
    </w:p>
    <w:p>
      <w:pPr>
        <w:pStyle w:val="ListParagraph"/>
        <w:numPr>
          <w:ilvl w:val="0"/>
          <w:numId w:val="3"/>
        </w:numPr>
        <w:spacing w:after="60"/>
      </w:pPr>
      <w:r>
        <w:t xml:space="preserve">Fracción en volumen y dilución: en saturación, la fracción de vapor sobre el charco es la presión de vapor dividida por la atmosférica (ley de Dalton), lo que da el porcentaje en volumen y su tope físico. El vapor evaporado se diluye en el caudal de aire que barre el charco (viento por anchura por altura de mezcla).</w:t>
      </w:r>
    </w:p>
    <w:p>
      <w:pPr>
        <w:pStyle w:val="ListParagraph"/>
        <w:numPr>
          <w:ilvl w:val="0"/>
          <w:numId w:val="3"/>
        </w:numPr>
        <w:spacing w:after="60"/>
      </w:pPr>
      <w:r>
        <w:t xml:space="preserve">Concentración en ppm: de la concentración resultante en ese aire, limitada por la saturación para que nunca dé un valor imposible. Para una fuga a presión, en cambio, se emplea la dispersión del jet; la aplicación toma el mecanismo dominante.</w:t>
      </w:r>
    </w:p>
    <w:p>
      <w:pPr>
        <w:spacing w:after="120"/>
      </w:pPr>
      <w:r>
        <w:t xml:space="preserve">La salida muestra el mecanismo dominante (evaporación de charco o fuga a presión), la presión de vapor a la temperatura real, la fracción en volumen de saturación, la evaporación en gramos por segundo, el caudal de aire de dilución y el resultado en ppm y en porcentaje en volumen.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Anclado en la volatilidad</w:t>
            </w:r>
          </w:p>
          <w:p>
            <w:r>
              <w:t xml:space="preserve">La concentración se obtiene de la volatilidad de la sustancia y su dilución en el aire, no de un caudal másico abstracto: por eso un ácido sulfúrico (que apenas humea) da una concentración de vapor casi nula y una gasolina da cientos o miles de ppm que crecen con la temperatura. Es una estimación de gabinete; ante la duda, aplique el método más restrictivo y confirme en campo.</w:t>
            </w:r>
          </w:p>
        </w:tc>
      </w:tr>
    </w:tbl>
    <w:p>
      <w:pPr>
        <w:pStyle w:val="Heading2"/>
      </w:pPr>
      <w:r>
        <w:t xml:space="preserve">8.2 Reanálisis en un toque (cuatro vías)</w:t>
      </w:r>
    </w:p>
    <w:p>
      <w:pPr>
        <w:spacing w:after="120"/>
      </w:pPr>
      <w:r>
        <w:t xml:space="preserve">Un botón flotante de reanálisis, presente en el menú de operación y en la pantalla de análisis, permite recalcular la situación sin rehacer toda la intervención, por cuatro vías: por nueva lectura de sensor (se introduce la concentración actual), por charco (se varía el diámetro del charco, la temperatura y la distancia del detector), por fuga (se varía el orificio y el tiempo) y por forzado de la meteorología (se sustituyen viento, dirección, temperatura y humedad). Cualquiera de ellas recalcula el nivel de riesgo, las zonas, el dictamen y la orden, y deja constancia en el registro. Es la herramienta para mantener la imagen actualizada conforme evoluciona la intervención.</w:t>
      </w:r>
    </w:p>
    <w:p>
      <w:pPr>
        <w:pStyle w:val="Heading2"/>
      </w:pPr>
      <w:r>
        <w:t xml:space="preserve">8.3 Temporizador de reevaluación AEGL</w:t>
      </w:r>
    </w:p>
    <w:p>
      <w:pPr>
        <w:spacing w:after="120"/>
      </w:pPr>
      <w:r>
        <w:t xml:space="preserve">Cuenta atrás de 60 minutos que arranca con el análisis; avisa en los últimos cinco minutos de que la atmósfera debe reevaluarse, ya que los umbrales AEGL son a 60 minutos.</w:t>
      </w:r>
    </w:p>
    <w:p>
      <w:pPr>
        <w:pStyle w:val="Heading2"/>
      </w:pPr>
      <w:r>
        <w:t xml:space="preserve">8.4 Registro de la intervención</w:t>
      </w:r>
    </w:p>
    <w:p>
      <w:pPr>
        <w:spacing w:after="120"/>
      </w:pPr>
      <w:r>
        <w:t xml:space="preserve">Cada análisis se registra automáticamente con hora, gas, concentración, nivel, viento y coordenadas. Exportable como texto o impresión/PDF.</w:t>
      </w:r>
    </w:p>
    <w:p>
      <w:pPr>
        <w:pStyle w:val="Heading2"/>
      </w:pPr>
      <w:r>
        <w:t xml:space="preserve">8.5 Compartir y enlace COP</w:t>
      </w:r>
    </w:p>
    <w:p>
      <w:pPr>
        <w:spacing w:after="120"/>
      </w:pPr>
      <w:r>
        <w:t xml:space="preserve">El dictamen puede compartirse como texto (copia, WhatsApp, SMS) o como enlace COP (Common Operating Picture): un enlace autocontenido —sin servidor— que codifica el estado operativo en la propia URL. Quien lo abre ve una imagen operativa de solo lectura con el nivel, las zonas, el viento y la posición, liberando la frecuencia de radio.</w:t>
      </w:r>
    </w:p>
    <w:p>
      <w:pPr>
        <w:pStyle w:val="Heading2"/>
      </w:pPr>
      <w:r>
        <w:t xml:space="preserve">8.6 Refresco automático y evolución sobre el mapa</w:t>
      </w:r>
    </w:p>
    <w:p>
      <w:pPr>
        <w:spacing w:after="120"/>
      </w:pPr>
      <w:r>
        <w:t xml:space="preserve">La meteorología puede refrescarse automáticamente cada quince minutos: cada ciclo actualiza el viento, redibuja la pluma, recentra el mapa y deja constancia en el registro. Durante la simulación dinámica, la nube deja sobre la cartografía el rastro de su evolución (los pasos anteriores en trazo tenue y el actual resaltado), y el mapa hace autozoom para encuadrar la pluma a medida que crece.</w:t>
      </w:r>
    </w:p>
    <w:p>
      <w:pPr>
        <w:pStyle w:val="Heading2"/>
      </w:pPr>
      <w:r>
        <w:t xml:space="preserve">8.7 Persistencia, modo guante y brújula</w:t>
      </w:r>
    </w:p>
    <w:p>
      <w:pPr>
        <w:pStyle w:val="ListParagraph"/>
        <w:numPr>
          <w:ilvl w:val="0"/>
          <w:numId w:val="2"/>
        </w:numPr>
        <w:spacing w:after="60"/>
      </w:pPr>
      <w:r>
        <w:t xml:space="preserve">El estado se guarda automáticamente; si el navegador se recarga, ofrece restaurar la sesión.</w:t>
      </w:r>
    </w:p>
    <w:p>
      <w:pPr>
        <w:pStyle w:val="ListParagraph"/>
        <w:numPr>
          <w:ilvl w:val="0"/>
          <w:numId w:val="2"/>
        </w:numPr>
        <w:spacing w:after="60"/>
      </w:pPr>
      <w:r>
        <w:t xml:space="preserve">El modo guante amplía controles y texto para uso con guantes de intervención bajo estrés.</w:t>
      </w:r>
    </w:p>
    <w:p>
      <w:pPr>
        <w:pStyle w:val="ListParagraph"/>
        <w:numPr>
          <w:ilvl w:val="0"/>
          <w:numId w:val="2"/>
        </w:numPr>
        <w:spacing w:after="60"/>
      </w:pPr>
      <w:r>
        <w:t xml:space="preserve">La brújula del dispositivo orienta el mapa según hacia dónde apunta el equipo.</w:t>
      </w:r>
    </w:p>
    <w:p>
      <w:r>
        <w:br w:type="page"/>
      </w:r>
    </w:p>
    <w:p>
      <w:pPr>
        <w:pStyle w:val="Heading1"/>
      </w:pPr>
      <w:r>
        <w:t xml:space="preserve">9. Orden inicial GOM e interfaz táctil</w:t>
      </w:r>
    </w:p>
    <w:p>
      <w:pPr>
        <w:pStyle w:val="Heading2"/>
      </w:pPr>
      <w:r>
        <w:t xml:space="preserve">9.1 Pantalla de Orden Inicial (GOM)</w:t>
      </w:r>
    </w:p>
    <w:p>
      <w:pPr>
        <w:spacing w:after="120"/>
      </w:pPr>
      <w:r>
        <w:t xml:space="preserve">Tras el análisis, la Orden Inicial dispone de pantalla propia que trae el dictamen táctico para determinar las acciones. La aplicación compone automáticamente el esqueleto de la orden de mando, listo para dictar o enviar, con la estructura clásica: situación, misión, ejecución (sectorización), seguridad y comunicaciones. Los apartados de situación y seguridad se rellenan solos a partir del análisis (producto, nivel, comportamiento del gas, viento, zonas, EPI recomendado y aviso de rol de viento). El mando solo selecciona la misión y los sectores funcionales mediante botones, añade opcionalmente los recursos, y obtiene una orden completa para copiar, enviar por mensajería o acompañar del enlace COP.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Qué automatiza y qué no</w:t>
            </w:r>
          </w:p>
          <w:p>
            <w:r>
              <w:t xml:space="preserve">La pantalla GOM acelera la composición y el envío de la orden, no la decisión táctica. La elección de misión y sectorización exige el criterio del mando; la herramienta solo estructura y transmite.</w:t>
            </w:r>
          </w:p>
        </w:tc>
      </w:tr>
    </w:tbl>
    <w:p>
      <w:pPr>
        <w:pStyle w:val="Heading2"/>
      </w:pPr>
      <w:r>
        <w:t xml:space="preserve">9.2 Pantallas separadas y semáforo de resultado</w:t>
      </w:r>
    </w:p>
    <w:p>
      <w:pPr>
        <w:spacing w:after="120"/>
      </w:pPr>
      <w:r>
        <w:t xml:space="preserve">La interfaz se organiza en pantallas independientes en lugar de una página con desplazamiento. Tras el análisis aparece un semáforo de resultado (nivel y color) que, al tocarlo, abre la pantalla de Análisis con el dictamen, los accesos rápidos a Zonificación, Orden y Mapa, y la corroboración con el sector solo si se seleccionó. La Zonificación táctica y el Mapa georreferenciado tienen también pantalla propia.</w:t>
      </w:r>
    </w:p>
    <w:p>
      <w:pPr>
        <w:pStyle w:val="Heading2"/>
      </w:pPr>
      <w:r>
        <w:t xml:space="preserve">9.3 Interfaz orientada a uso en campo</w:t>
      </w:r>
    </w:p>
    <w:p>
      <w:pPr>
        <w:pStyle w:val="ListParagraph"/>
        <w:numPr>
          <w:ilvl w:val="0"/>
          <w:numId w:val="2"/>
        </w:numPr>
        <w:spacing w:after="60"/>
      </w:pPr>
      <w:r>
        <w:t xml:space="preserve">Barra de navegación inferior fija (Inicio · Análisis · Zonas · Mapa · Orden) en la zona alcanzable con el pulgar.</w:t>
      </w:r>
    </w:p>
    <w:p>
      <w:pPr>
        <w:pStyle w:val="ListParagraph"/>
        <w:numPr>
          <w:ilvl w:val="0"/>
          <w:numId w:val="2"/>
        </w:numPr>
        <w:spacing w:after="60"/>
      </w:pPr>
      <w:r>
        <w:t xml:space="preserve">Teclado numérico ONU a pantalla completa con teclas grandes para uso con guantes, que confirma la sustancia en tiempo real.</w:t>
      </w:r>
    </w:p>
    <w:p>
      <w:pPr>
        <w:pStyle w:val="ListParagraph"/>
        <w:numPr>
          <w:ilvl w:val="0"/>
          <w:numId w:val="2"/>
        </w:numPr>
        <w:spacing w:after="60"/>
      </w:pPr>
      <w:r>
        <w:t xml:space="preserve">Asistente guiado «Nueva intervención» en siete pasos de un solo foco: sustancia (ONU), configuración de detectores, meteorología, riesgo y reacciones, equipos y lecturas (estimación + lecturas), sector y modelo de dispersión.</w:t>
      </w:r>
    </w:p>
    <w:p>
      <w:pPr>
        <w:pStyle w:val="ListParagraph"/>
        <w:numPr>
          <w:ilvl w:val="0"/>
          <w:numId w:val="2"/>
        </w:numPr>
        <w:spacing w:after="60"/>
      </w:pPr>
      <w:r>
        <w:t xml:space="preserve">Botón Analizar flotante que aparece cuando hay lecturas sin procesar, y reanálisis en un toque para el ciclo de reevaluación (conserva todo y solo pide la nueva concentración).</w:t>
      </w:r>
    </w:p>
    <w:p>
      <w:pPr>
        <w:pStyle w:val="ListParagraph"/>
        <w:numPr>
          <w:ilvl w:val="0"/>
          <w:numId w:val="2"/>
        </w:numPr>
        <w:spacing w:after="60"/>
      </w:pPr>
      <w:r>
        <w:t xml:space="preserve">Modo sol / alto contraste para pantallas bajo luz solar directa.</w:t>
      </w:r>
    </w:p>
    <w:p>
      <w:r>
        <w:br w:type="page"/>
      </w:r>
    </w:p>
    <w:p>
      <w:pPr>
        <w:pStyle w:val="Heading1"/>
      </w:pPr>
      <w:r>
        <w:t xml:space="preserve">10. Niveles de riesgo</w:t>
      </w:r>
    </w:p>
    <w:p>
      <w:pPr>
        <w:spacing w:after="120"/>
      </w:pPr>
      <w:r>
        <w:t xml:space="preserve">El nivel global se asigna por máxima restricción. El disparador depende del tipo de riesgo: umbrales EPA AEGL (en ppm) para los tóxicos, y porcentaje del límite inferior de explosividad (% LEL) para los inflamables medidos por el MPS: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700"/>
        <w:gridCol w:w="3100"/>
        <w:gridCol w:w="1460"/>
      </w:tblGrid>
      <w:tr>
        <w:trPr>
          <w:tblHeader/>
        </w:trPr>
        <w:tc>
          <w:tcPr>
            <w:tcW w:type="dxa" w:w="11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Nivel</w:t>
            </w:r>
          </w:p>
        </w:tc>
        <w:tc>
          <w:tcPr>
            <w:tcW w:type="dxa" w:w="27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Disparador tóxico</w:t>
            </w:r>
          </w:p>
        </w:tc>
        <w:tc>
          <w:tcPr>
            <w:tcW w:type="dxa" w:w="31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Disparador inflamable (MPS)</w:t>
            </w:r>
          </w:p>
        </w:tc>
        <w:tc>
          <w:tcPr>
            <w:tcW w:type="dxa" w:w="14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Color</w:t>
            </w:r>
          </w:p>
        </w:tc>
      </w:tr>
      <w:tr>
        <w:tc>
          <w:tcPr>
            <w:tcW w:type="dxa" w:w="1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w:t>
            </w:r>
          </w:p>
        </w:tc>
        <w:tc>
          <w:tcPr>
            <w:tcW w:type="dxa" w:w="2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&lt; AEGL-1</w:t>
            </w:r>
          </w:p>
        </w:tc>
        <w:tc>
          <w:tcPr>
            <w:tcW w:type="dxa" w:w="3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&lt; 20 % LEL</w:t>
            </w:r>
          </w:p>
        </w:tc>
        <w:tc>
          <w:tcPr>
            <w:tcW w:type="dxa" w:w="1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Verde</w:t>
            </w:r>
          </w:p>
        </w:tc>
      </w:tr>
      <w:tr>
        <w:tc>
          <w:tcPr>
            <w:tcW w:type="dxa" w:w="1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NII</w:t>
            </w:r>
          </w:p>
        </w:tc>
        <w:tc>
          <w:tcPr>
            <w:tcW w:type="dxa" w:w="2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AEGL-1</w:t>
            </w:r>
          </w:p>
        </w:tc>
        <w:tc>
          <w:tcPr>
            <w:tcW w:type="dxa" w:w="3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20 % LEL (A1)</w:t>
            </w:r>
          </w:p>
        </w:tc>
        <w:tc>
          <w:tcPr>
            <w:tcW w:type="dxa" w:w="14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Ámbar</w:t>
            </w:r>
          </w:p>
        </w:tc>
      </w:tr>
      <w:tr>
        <w:tc>
          <w:tcPr>
            <w:tcW w:type="dxa" w:w="1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NIII</w:t>
            </w:r>
          </w:p>
        </w:tc>
        <w:tc>
          <w:tcPr>
            <w:tcW w:type="dxa" w:w="2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 AEGL-2</w:t>
            </w:r>
          </w:p>
        </w:tc>
        <w:tc>
          <w:tcPr>
            <w:tcW w:type="dxa" w:w="3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 40 % LEL (A2)</w:t>
            </w:r>
          </w:p>
        </w:tc>
        <w:tc>
          <w:tcPr>
            <w:tcW w:type="dxa" w:w="1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Rojo</w:t>
            </w:r>
          </w:p>
        </w:tc>
      </w:tr>
      <w:tr>
        <w:tc>
          <w:tcPr>
            <w:tcW w:type="dxa" w:w="1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NIII+</w:t>
            </w:r>
          </w:p>
        </w:tc>
        <w:tc>
          <w:tcPr>
            <w:tcW w:type="dxa" w:w="2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AEGL-3 (o sin confirmar)</w:t>
            </w:r>
          </w:p>
        </w:tc>
        <w:tc>
          <w:tcPr>
            <w:tcW w:type="dxa" w:w="3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50 % LEL (deflagración)</w:t>
            </w:r>
          </w:p>
        </w:tc>
        <w:tc>
          <w:tcPr>
            <w:tcW w:type="dxa" w:w="14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Rojo</w:t>
            </w:r>
          </w:p>
        </w:tc>
      </w:tr>
    </w:tbl>
    <w:p>
      <w:pPr>
        <w:spacing w:after="120"/>
      </w:pPr>
      <w:r>
        <w:t xml:space="preserve"/>
      </w:r>
    </w:p>
    <w:p>
      <w:pPr>
        <w:spacing w:after="120"/>
      </w:pPr>
      <w:r>
        <w:t xml:space="preserve">La lectura táctica por nivel: NI vigilancia; NII protección y zonificación; NIII exclusión y EPI máximo; NIII+ máxima restricción. El valor que dispara el nivel se muestra siempre con su unidad correcta (ppm para tóxicos, % LEL para inflamables).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Coherencia con el sector</w:t>
            </w:r>
          </w:p>
          <w:p>
            <w:r>
              <w:t xml:space="preserve">🟢 Coherente: gas esperable.  🟡 Parcial: encaje ocasional.  🔴 Incoherencia: gas atípico para el sector — reconsiderar el escenario.</w:t>
            </w:r>
          </w:p>
        </w:tc>
      </w:tr>
    </w:tbl>
    <w:p>
      <w:r>
        <w:br w:type="page"/>
      </w:r>
    </w:p>
    <w:p>
      <w:pPr>
        <w:pStyle w:val="Heading1"/>
      </w:pPr>
      <w:r>
        <w:t xml:space="preserve">11. Base de datos de sustancias</w:t>
      </w:r>
    </w:p>
    <w:p>
      <w:pPr>
        <w:spacing w:after="120"/>
      </w:pPr>
      <w:r>
        <w:t xml:space="preserve">La aplicación incluye ochenta y cinco sustancias, organizadas por familias. A los grupos básicos se suman las ampliaciones de las Fases 1 y 2 descritas en el capítulo 12.</w:t>
      </w:r>
    </w:p>
    <w:p>
      <w:pPr>
        <w:pStyle w:val="Heading2"/>
      </w:pPr>
      <w:r>
        <w:t xml:space="preserve">11.1 Tóxicos industriales (TIH)</w:t>
      </w:r>
    </w:p>
    <w:p>
      <w:pPr>
        <w:spacing w:after="120"/>
      </w:pPr>
      <w:r>
        <w:t xml:space="preserve">Gases con umbrales AEGL de la EPA: cloro, amoníaco, sulfuro de hidrógeno, cianuro de hidrógeno, dióxido de azufre, fluoruro de hidrógeno, monóxido de carbono, cloruro de hidrógeno, dióxido de nitrógeno, ozono, formaldehído, fosgeno, peróxido de hidrógeno y mercaptanos. Para cada uno, las distancias de las zonas se anclan en la Tabla 1 del ERG 2024.</w:t>
      </w:r>
    </w:p>
    <w:p>
      <w:pPr>
        <w:pStyle w:val="Heading2"/>
      </w:pPr>
      <w:r>
        <w:t xml:space="preserve">11.2 Inflamables detectados por el sensor MPS</w:t>
      </w:r>
    </w:p>
    <w:p>
      <w:pPr>
        <w:spacing w:after="120"/>
      </w:pPr>
      <w:r>
        <w:t xml:space="preserve">Veintidós gases y vapores inflamables medidos por el sensor MPS de NevadaNano, expresados en porcentaje del límite inferior de explosividad (% LEL). El sensor mide explosividad, no toxicidad. Se distingue entre los que tienen precisión TrueLEL garantizada (metano, etano, propileno, isobutano, isobutileno, pentano, heptano, octano, tolueno, xileno, estireno, etileno, acetona, isopropanol, MEK) y los que detecta sin esa precisión y por tanto son orientativos (gasolina, gasóleo, etanol, metanol, hexano, ciclohexano, acetileno). En cada ficha se indica el sesgo conocido del sensor: por ejemplo, subestima el etileno y el estireno, y sobreestima la acetona y el isopropanol.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Vapores de gasolina y el MPS</w:t>
            </w:r>
          </w:p>
          <w:p>
            <w:r>
              <w:t xml:space="preserve">La gasolina es una mezcla compleja (C4–C12), por lo que el MPS la detecta sin precisión TrueLEL: la lectura de % LEL es orientativa y puede sobre o subestimar. Mide riesgo de explosión, no toxicidad. Aplique siempre margen de seguridad y confirme.</w:t>
            </w:r>
          </w:p>
        </w:tc>
      </w:tr>
    </w:tbl>
    <w:p>
      <w:pPr>
        <w:pStyle w:val="Heading2"/>
      </w:pPr>
      <w:r>
        <w:t xml:space="preserve">11.3 Quince mercancías peligrosas más frecuentes por carretera</w:t>
      </w:r>
    </w:p>
    <w:p>
      <w:pPr>
        <w:spacing w:after="120"/>
      </w:pPr>
      <w:r>
        <w:t xml:space="preserve">Con número ONU verificado (ADR / Libro Naranja), propiedades fisicoquímicas y condiciones de transporte (presión), dato clave para anticipar el comportamiento del derrame: un gas licuado a presión produce una liberación súbita con gran expansión, mientras que un líquido a presión atmosférica forma un charco con evaporación progresiva.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560"/>
      </w:tblGrid>
      <w:tr>
        <w:trPr>
          <w:tblHeader/>
        </w:trPr>
        <w:tc>
          <w:tcPr>
            <w:tcW w:type="dxa" w:w="3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Mercancía</w:t>
            </w:r>
          </w:p>
        </w:tc>
        <w:tc>
          <w:tcPr>
            <w:tcW w:type="dxa" w:w="1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ONU</w:t>
            </w:r>
          </w:p>
        </w:tc>
        <w:tc>
          <w:tcPr>
            <w:tcW w:type="dxa" w:w="45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Transporte</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GLP (propano/butano)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1965</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Cisterna a presión ~7–8 bar</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Gasolina</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1203</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(muy volátil)</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Gasóleo / diésel</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1202</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Atmosférica (poco volátil)</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Queroseno / Jet A-1</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1223</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Fuelóleo pesado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3082</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Atmosférica, caliente</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Ácido sulfúrico</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1830</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(líquido denso)</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Óleum / ác. sulfúrico fumante</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1831</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Atmosférica (humea SO₃, tóxico inhalación)</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Hidróxido de sodio (sosa)</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1824</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(disolución)</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Ácido nítrico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2031</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Atmosférica (genera NOx)</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Ácido clorhídrico</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1789</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(desprende HCl)</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Acetato de etilo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1173</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Atmosférica (volátil)</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Metacrilato de metilo</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1247</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(polimerizable)</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Nitrógeno líquido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1977</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Criogénica ≤10 bar</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Oxígeno líquido</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1073</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Criogénica (comburente)</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CO₂ licuado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2187</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Refrigerada ~20 bar</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Benceno</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1114</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(cancerígeno)</w:t>
            </w:r>
          </w:p>
        </w:tc>
      </w:tr>
    </w:tbl>
    <w:p>
      <w:pPr>
        <w:spacing w:after="80"/>
      </w:pPr>
      <w:r>
        <w:t xml:space="preserve"/>
      </w:r>
    </w:p>
    <w:p>
      <w:pPr>
        <w:spacing w:after="120"/>
      </w:pPr>
      <w:r>
        <w:t xml:space="preserve">Otras incorporadas: anilina (ONU 1547) y etilenglicol. Al introducir el número ONU, la app carga las propiedades, activa el sensor adecuado y muestra las condiciones de transporte.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Ácido sulfúrico frente a óleum</w:t>
            </w:r>
          </w:p>
          <w:p>
            <w:r>
              <w:t xml:space="preserve">El ONU 1830 (ácido sulfúrico) y el 1831 (óleum o ácido sulfúrico fumante) no son lo mismo. El primero es un líquido corrosivo que apenas genera vapor: el peligro es el contacto. El óleum, en cambio, desprende humos blancos de trióxido de azufre tóxicos por inhalación, que forman niebla ácida; además del corrosivo líquido, hay que considerar la nube. La aplicación los trata como sustancias distintas con esa diferencia de volatilidad.</w:t>
            </w:r>
          </w:p>
        </w:tc>
      </w:tr>
    </w:tbl>
    <w:p>
      <w:pPr>
        <w:pStyle w:val="Heading2"/>
      </w:pPr>
      <w:r>
        <w:t xml:space="preserve">11.4 Sector de transporte por carretera y ferrocarril</w:t>
      </w:r>
    </w:p>
    <w:p>
      <w:pPr>
        <w:spacing w:after="120"/>
      </w:pPr>
      <w:r>
        <w:t xml:space="preserve">Entre los sectores de actividad se incluye el transporte de mercancías peligrosas por carretera (ADR) y ferrocarril (RID). A diferencia de un sector de proceso, donde la firma de gases esperable es nítida, en un accidente de transporte el producto lo determina la carta de porte y el panel naranja, y puede ser cualquiera de las mercancías ADR habituales. Por ello su firma química es deliberadamente difusa, igual que la de un puerto: gana como hipótesis cuando el patrón de gases es mixto o atípico, y cede ante un sector de proceso cuando la firma es clara.</w:t>
      </w:r>
    </w:p>
    <w:p>
      <w:r>
        <w:br w:type="page"/>
      </w:r>
    </w:p>
    <w:p>
      <w:pPr>
        <w:pStyle w:val="Heading1"/>
      </w:pPr>
      <w:r>
        <w:t xml:space="preserve">12. Ampliación de la base de datos y evaluación avanzada</w:t>
      </w:r>
    </w:p>
    <w:p>
      <w:pPr>
        <w:spacing w:after="120"/>
      </w:pPr>
      <w:r>
        <w:t xml:space="preserve">La base de datos se ha ampliado a ochenta y cinco sustancias mediante dos fases enfocadas en el tejido industrial español (petroquímica y química básica de Tarragona, Huelva y Cartagena; tratamiento de aguas). Esta ampliación introdujo además lógica nueva de dictamen que se describe a continuación.</w:t>
      </w:r>
    </w:p>
    <w:p>
      <w:pPr>
        <w:pStyle w:val="Heading2"/>
      </w:pPr>
      <w:r>
        <w:t xml:space="preserve">12.1 Fase 1 — Petroquímica y química básica (sustancias que forman nube)</w:t>
      </w:r>
    </w:p>
    <w:p>
      <w:pPr>
        <w:spacing w:after="120"/>
      </w:pPr>
      <w:r>
        <w:t xml:space="preserve">La base reúne 76 sustancias frecuentes en intervención real que pueden generar nube peligrosa (gases y vapores de la petroquímica y la química básica, agentes industriales tóxicos, el ácido fluorhídrico en disolución y el difluoruro de oxígeno, entre otras), cada una con el juego completo de datos: peso molecular, densidad de vapor, densidad líquida, presión de vapor, límite de explosividad, umbrales AEGL contrastados con la EPA, sensor principal y, en los gases licuados, datos de flash adiabático.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4360"/>
      </w:tblGrid>
      <w:tr>
        <w:trPr>
          <w:tblHeader/>
        </w:trPr>
        <w:tc>
          <w:tcPr>
            <w:tcW w:type="dxa" w:w="37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Sustancia</w:t>
            </w:r>
          </w:p>
        </w:tc>
        <w:tc>
          <w:tcPr>
            <w:tcW w:type="dxa" w:w="13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ONU</w:t>
            </w:r>
          </w:p>
        </w:tc>
        <w:tc>
          <w:tcPr>
            <w:tcW w:type="dxa" w:w="43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Riesgo principal</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Óxido de etileno</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1040</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Inflamable + tóxico + cancerígeno (gas licuado)</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Óxido de propileno</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1280</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Inflamable + cancerígeno</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1,3-Butadieno</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1010</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Inflamable + cancerígeno (gas licuado)</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Cloruro de vinilo (VCM)</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1086</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Inflamable + cancerígeno (gas licuado, PVC)</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Acrilonitrilo</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1093</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Tóxico + inflamable + cancerígeno</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Etilbenceno</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1175</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Inflamable</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Metilamina</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1061</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Gas tóxico inflamable (licuado)</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Acroleína</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1092</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Muy tóxico + inflamable</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Disulfuro de carbono</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1131</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Muy inflamable (autoignición 90 °C) + tóxico</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Tetrahidrofurano</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2056</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Inflamable (forma peróxidos)</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Epiclorhidrina</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2023</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Tóxico + inflamable + cancerígeno</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Ácido fluorhídrico en disolución</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1790</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Corrosivo grave + vapores tóxicos de HF</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Valores AEGL no oficiales</w:t>
            </w:r>
          </w:p>
          <w:p>
            <w:r>
              <w:t xml:space="preserve">Cuando una sustancia carece de AEGL oficial de la EPA (metilamina, tetrahidrofurano), se emplean valores TEEL de referencia, claramente etiquetados como no oficiales en la ficha. El mando debe tratarlos como orientativos.</w:t>
            </w:r>
          </w:p>
        </w:tc>
      </w:tr>
    </w:tbl>
    <w:p>
      <w:pPr>
        <w:pStyle w:val="Heading2"/>
      </w:pPr>
      <w:r>
        <w:t xml:space="preserve">12.2 Evaluación dual de sustancias tóxico-inflamables</w:t>
      </w:r>
    </w:p>
    <w:p>
      <w:pPr>
        <w:spacing w:after="120"/>
      </w:pPr>
      <w:r>
        <w:t xml:space="preserve">Una sustancia tóxico-inflamable (óxido de etileno, cloruro de vinilo, acrilonitrilo, acroleína, disulfuro de carbono, metilamina, epiclorhidrina) presenta dos riesgos simultáneos: explosividad (% LEL) y toxicidad (ppm). En muchas de ellas el riesgo tóxico domina mucho antes que el de explosión. Por ello la aplicación genera dos candidatos —uno por explosividad y otro por toxicidad— y el dictamen adopta el peor de los 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Por qué importa</w:t>
            </w:r>
          </w:p>
          <w:p>
            <w:r>
              <w:t xml:space="preserve">El óxido de etileno a una concentración dada puede dar solo un 15 % LEL (nivel bajo por explosividad) pero superar a la vez el umbral AEGL-3 de toxicidad (amenaza vital). Evaluar solo la explosividad infravaloraría gravemente el riesgo. La evaluación dual evita ese punto ciego.</w:t>
            </w:r>
          </w:p>
        </w:tc>
      </w:tr>
    </w:tbl>
    <w:p>
      <w:pPr>
        <w:pStyle w:val="Heading2"/>
      </w:pPr>
      <w:r>
        <w:t xml:space="preserve">12.3 Equipo de protección según el riesgo dominante</w:t>
      </w:r>
    </w:p>
    <w:p>
      <w:pPr>
        <w:spacing w:after="120"/>
      </w:pPr>
      <w:r>
        <w:t xml:space="preserve">El EPI recomendado depende de qué riesgo dispara el nivel. Para una sustancia tóxico-inflamable cuyo nivel lo impone la toxicidad, prevalece el traje estanco a gases (Tipo 1, EN 943-1) más equipo autónomo, añadiendo el control de focos de ignición y la puesta a tierra porque también arde; si se declara fuego, la protección térmica estructural prevalece. Para un inflamable puro se usa equipo estructural. Para un gas tóxico (cloro, amoníaco) el equipo es estanco, no antisalpicaduras, incluso en nivel II.</w:t>
      </w:r>
    </w:p>
    <w:p>
      <w:pPr>
        <w:pStyle w:val="Heading2"/>
      </w:pPr>
      <w:r>
        <w:t xml:space="preserve">12.4 Aviso de productos de combustión peligrosos</w:t>
      </w:r>
    </w:p>
    <w:p>
      <w:pPr>
        <w:spacing w:after="120"/>
      </w:pPr>
      <w:r>
        <w:t xml:space="preserve">Algunas sustancias liberan gases tóxicos al arder. El dictamen lo advierte para que el mando lo considere al decidir entre extinguir o dejar arder de forma controlada: el acrilonitrilo libera cianuro de hidrógeno; el cloruro de vinilo y la epiclorhidrina, cloruro de hidrógeno y fosgeno; el disulfuro de carbono, dióxido de azufre; el óxido de etileno puede descomponerse de forma explosiva.</w:t>
      </w:r>
    </w:p>
    <w:p>
      <w:pPr>
        <w:pStyle w:val="Heading2"/>
      </w:pPr>
      <w:r>
        <w:t xml:space="preserve">12.5 Fase 2 — Líquidos corrosivos sin nube</w:t>
      </w:r>
    </w:p>
    <w:p>
      <w:pPr>
        <w:spacing w:after="120"/>
      </w:pPr>
      <w:r>
        <w:t xml:space="preserve">Muchos químicos industriales son líquidos corrosivos poco o nada volátiles cuyo peligro no es la inhalación de una nube, sino el contacto, la salpicadura, el vertido y la reacción. Para ellos, el motor de dispersión no aplica: la aplicación genera un dictamen corrosivo específico con EPI antisalpicaduras, perímetro de contacto, contención, incompatibilidades químicas y riesgo medioambiental.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4360"/>
      </w:tblGrid>
      <w:tr>
        <w:trPr>
          <w:tblHeader/>
        </w:trPr>
        <w:tc>
          <w:tcPr>
            <w:tcW w:type="dxa" w:w="37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Sustancia</w:t>
            </w:r>
          </w:p>
        </w:tc>
        <w:tc>
          <w:tcPr>
            <w:tcW w:type="dxa" w:w="13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ONU</w:t>
            </w:r>
          </w:p>
        </w:tc>
        <w:tc>
          <w:tcPr>
            <w:tcW w:type="dxa" w:w="43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Nota</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Hidróxido de sodio (sosa)</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1824</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Cáustico; reacción exotérmica con ácidos</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Cloruro férrico</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2582</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Floculante de depuradoras; muy contaminante del agua</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Ácido fosfórico</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1805</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Corrosivo; eutrofización por fosfatos</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Hipoclorito sódico (lejía)</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1791</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Con ácidos libera cloro gas tóxico</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Hidróxido potásico (potasa)</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1814</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Cáustico; libera H₂ con metales ligeros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Incompatibilidad materializada</w:t>
            </w:r>
          </w:p>
          <w:p>
            <w:r>
              <w:t xml:space="preserve">Si se identifica un corrosivo (p. ej. hipoclorito) y a la vez se mide un gas tóxico (cloro), la aplicación entiende que la incompatibilidad ya se ha producido: el dictamen tóxico prevalece sobre el de contacto y se avisa de reacción en curso. Es el mecanismo que causa intoxicaciones reales por cloro en piscinas y limpiezas.</w:t>
            </w:r>
          </w:p>
        </w:tc>
      </w:tr>
    </w:tbl>
    <w:p>
      <w:pPr>
        <w:pStyle w:val="Heading2"/>
      </w:pPr>
      <w:r>
        <w:t xml:space="preserve">12.6 Subproductos de reacción con el contenedor</w:t>
      </w:r>
    </w:p>
    <w:p>
      <w:pPr>
        <w:spacing w:after="120"/>
      </w:pPr>
      <w:r>
        <w:t xml:space="preserve">Un ácido o una base en contacto con el metal del contenedor (acero, aluminio) puede liberar hidrógeno, creando una atmósfera explosiva. La aplicación lo predice a partir de la familia química de la sustancia y el material del contenedor. Caso típico: ácido fluorhídrico en disolución (ONU 1790) dentro de un contenedor metálico, donde además del doble peligro del HF (corrosivo grave con antídoto de gluconato cálcico, más vapores tóxicos) hay que vigilar el hidrógeno.</w:t>
      </w:r>
    </w:p>
    <w:p>
      <w:pPr>
        <w:pStyle w:val="Heading2"/>
      </w:pPr>
      <w:r>
        <w:t xml:space="preserve">12.7 Medición de hidrógeno: dos sensores, dos unidades</w:t>
      </w:r>
    </w:p>
    <w:p>
      <w:pPr>
        <w:spacing w:after="120"/>
      </w:pPr>
      <w:r>
        <w:t xml:space="preserve">El hidrógeno puede medirse de dos formas. El sensor MPS (NevadaNano) entrega directamente el porcentaje del límite de explosividad (% LEL). El sensor electroquímico (SensoriC H2 3E 4 %) mide concentración real en partes por millón, con un rango de cero a cuarenta mil ppm, que equivale a cero a cien por ciento del LEL. La aplicación convierte los ppm del electroquímico a % LEL empleando el límite real del hidrógeno: cuatro por ciento en volumen, es decir, cuarenta mil ppm equivalen al cien por cien del LEL. El hidrógeno no es tóxico; su riesgo es la explosividad.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Canal correcto del hidrógeno</w:t>
            </w:r>
          </w:p>
          <w:p>
            <w:r>
              <w:t xml:space="preserve">Si lee el valor en el sensor electroquímico, introdúzcalo en partes por millón en el canal de hidrógeno y la aplicación lo convierte. Si lo lee en el MPS, ya está en porcentaje del LEL y va por el canal correspondiente. Conviene tener claro cuál de los dos sensores se está usando al introducir el dato.</w:t>
            </w:r>
          </w:p>
        </w:tc>
      </w:tr>
    </w:tbl>
    <w:p>
      <w:r>
        <w:br w:type="page"/>
      </w:r>
    </w:p>
    <w:p>
      <w:pPr>
        <w:pStyle w:val="Heading1"/>
      </w:pPr>
      <w:r>
        <w:t xml:space="preserve">13. Configuración de detectores y corrección de sensores</w:t>
      </w:r>
    </w:p>
    <w:p>
      <w:pPr>
        <w:spacing w:after="120"/>
      </w:pPr>
      <w:r>
        <w:t xml:space="preserve">La aplicación permite configurar los detectores reales del equipo y aplica correcciones basadas en datos oficiales de fabricante (RAE Systems by Honeywell y Dräger), de modo que las lecturas se interpreten con el rigor que corresponde a cada sensor.</w:t>
      </w:r>
    </w:p>
    <w:p>
      <w:pPr>
        <w:pStyle w:val="Heading2"/>
      </w:pPr>
      <w:r>
        <w:t xml:space="preserve">13.1 Configuración de detectores en el asistente</w:t>
      </w:r>
    </w:p>
    <w:p>
      <w:pPr>
        <w:spacing w:after="120"/>
      </w:pPr>
      <w:r>
        <w:t xml:space="preserve">El asistente comienza identificando la sustancia por número ONU; a continuación viene la configuración de detectores. Para cada detector (A principal y B de contraste opcional) se identifica el fabricante entre RAE, Dräger, MSA, Honeywell y Blackline, y se marcan las celdas que monta el equipo. Las celdas aparecen deseleccionadas por defecto: el operador marca únicamente las que lleva su unidad real, lo que evita arrastrar configuraciones que no corresponden. La celda de explosividad se muestra con la etiqueta «LEL». La configuración se guarda en el dispositivo y persiste entre intervenciones.</w:t>
      </w:r>
    </w:p>
    <w:p>
      <w:pPr>
        <w:spacing w:after="120"/>
      </w:pPr>
      <w:r>
        <w:t xml:space="preserve">Si se ha introducido el número ONU antes de configurar los detectores, las celdas que pueden aportar lectura de esa sustancia se resaltan en color: en verde las de lectura directa (la celda del propio gas, o la de explosividad si la sustancia es inflamable) y en ámbar las que podrían responder por sensibilidad cruzada según la tabla del fabricante. Una leyenda recuerda el significado de cada color. Este resaltado ayuda al operador a saber, de un vistazo, qué celdas de su equipo son útiles para la sustancia concreta.</w:t>
      </w:r>
    </w:p>
    <w:p>
      <w:pPr>
        <w:spacing w:after="120"/>
      </w:pPr>
      <w:r>
        <w:t xml:space="preserve">En el subpaso de lecturas, cada detector configurado genera automáticamente su propio panel con las celdas seleccionadas, listas para introducir las mediciones, sin necesidad de elegir configuraciones preestablecidas. Al cambiar de intervención, los paneles se regeneran con los detectores vigentes.</w:t>
      </w:r>
    </w:p>
    <w:p>
      <w:pPr>
        <w:pStyle w:val="Heading2"/>
      </w:pPr>
      <w:r>
        <w:t xml:space="preserve">13.2 Tipo de sensor de explosividad y gas de calibración</w:t>
      </w:r>
    </w:p>
    <w:p>
      <w:pPr>
        <w:spacing w:after="120"/>
      </w:pPr>
      <w:r>
        <w:t xml:space="preserve">Para la medida de explosividad, la aplicación distingue tres tipos de sensor: el MPS (sensor molecular, característico de Blackline), el LEL catalítico de perla, y el LEL infrarrojo. Los tres están disponibles para cualquier fabricante; el operador elige el que monta su unidad.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Por qué importa el gas de calibración</w:t>
            </w:r>
          </w:p>
          <w:p>
            <w:r>
              <w:t xml:space="preserve">Un sensor LEL catalítico o infrarrojo muestra el porcentaje del límite de explosividad asumiendo que el gas presente es el de calibración. Si el gas real es distinto, la lectura debe corregirse. Por eso, al elegir sensor catalítico o infrarrojo, la aplicación pide el gas de calibración (metano, propano, butano o hexano). El MPS no necesita este dato, porque identifica el gas y entrega el porcentaje del límite de explosividad real.</w:t>
            </w:r>
          </w:p>
        </w:tc>
      </w:tr>
    </w:tbl>
    <w:p>
      <w:pPr>
        <w:pStyle w:val="Heading2"/>
      </w:pPr>
      <w:r>
        <w:t xml:space="preserve">13.3 Corrección de factores LEL</w:t>
      </w:r>
    </w:p>
    <w:p>
      <w:pPr>
        <w:spacing w:after="120"/>
      </w:pPr>
      <w:r>
        <w:t xml:space="preserve">Cuando el detector usa sensor catalítico o infrarrojo, está calibrado en un gas concreto, y la sustancia presente es otra ya identificada, la aplicación corrige la lectura aplicando el factor de respuesta del gas real respecto al gas de calibración. Los factores proceden de las notas técnicas oficiales de los fabricantes: los de RAE están referidos a metano (su base de calibración), y los de Dräger infrarrojo a propano (la suya), por lo que la aplicación los maneja por fabricante.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Relevancia para la seguridad</w:t>
            </w:r>
          </w:p>
          <w:p>
            <w:r>
              <w:t xml:space="preserve">Un sensor catalítico calibrado en metano infravalora los hidrocarburos pesados. Por ejemplo, una lectura de 8 % LEL midiendo hexano corresponde en realidad a unos 18 % LEL (factor 2,3). Sin corrección, una atmósfera que parece tranquila puede estar próxima al umbral de alerta. La aplicación corrige la lectura y lo advierte expresamente en el dictamen.</w:t>
            </w:r>
          </w:p>
        </w:tc>
      </w:tr>
    </w:tbl>
    <w:p>
      <w:pPr>
        <w:pStyle w:val="Heading2"/>
      </w:pPr>
      <w:r>
        <w:t xml:space="preserve">13.4 Sensibilidades cruzadas por fabricante</w:t>
      </w:r>
    </w:p>
    <w:p>
      <w:pPr>
        <w:spacing w:after="120"/>
      </w:pPr>
      <w:r>
        <w:t xml:space="preserve">A partir de las tablas de interferencias de los datasheet oficiales de cada fabricante (Dräger, MSA, RAE/Honeywell y Blackline), la aplicación advierte cuando un gas medido puede estar falseando la lectura de otra celda. La aplicación elige automáticamente la tabla del fabricante del detector configurado, porque las interferencias difieren mucho entre marcas.</w:t>
      </w:r>
    </w:p>
    <w:p>
      <w:pPr>
        <w:spacing w:after="120"/>
      </w:pPr>
      <w:r>
        <w:t xml:space="preserve">Las diferencias entre fabricantes son grandes y conviene conocerlas. Por ejemplo, el hidrógeno produce una lectura falsa de monóxido de carbono que va desde un 12 % en Blackline hasta un 48 % en MSA, pasando por un 20 % en Dräger y un 40 % en RAE/Honeywell. Por eso aplicar la tabla equivocada daría avisos desviados.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Interferencia crítica: H₂S en la celda de HCN</w:t>
            </w:r>
          </w:p>
          <w:p>
            <w:r>
              <w:t xml:space="preserve">La interferencia más peligrosa documentada es la del sulfuro de hidrógeno sobre la celda de cianuro de hidrógeno. En los sensores Dräger y MSA, el H₂S dispara la lectura de HCN un 300 %; en los de RAE/Honeywell, hasta un 600 %, hasta el punto de que el fabricante advierte que ese sensor no es apto para atmósferas con H₂S. En un ambiente con sulfhídrico, una lectura de cianuro puede estar enormemente inflada. La aplicación lo advierte de forma reforzada.</w:t>
            </w:r>
          </w:p>
        </w:tc>
      </w:tr>
    </w:tbl>
    <w:p>
      <w:pPr>
        <w:spacing w:after="120"/>
      </w:pPr>
      <w:r>
        <w:t xml:space="preserve">El principio aplicado es de seguridad: la aplicación avisa de la posible interferencia, pero nunca reduce en silencio un valor medido; la decisión queda en manos del mando, que debe verificar con el detector de contraste o con lectura selectiva. Las interferencias negativas (un gas que hunde la lectura de otro) reciben atención especial, porque pueden ocultar un gas realmente presente y evitar una alarma.</w:t>
      </w:r>
    </w:p>
    <w:p>
      <w:pPr>
        <w:pStyle w:val="Heading2"/>
      </w:pPr>
      <w:r>
        <w:t xml:space="preserve">13.5 Medición de hidrógeno con dos sensores</w:t>
      </w:r>
    </w:p>
    <w:p>
      <w:pPr>
        <w:spacing w:after="120"/>
      </w:pPr>
      <w:r>
        <w:t xml:space="preserve">El hidrógeno puede medirse de dos formas. El sensor MPS entrega directamente el porcentaje del límite de explosividad. El sensor electroquímico mide concentración real en partes por millón, con un fondo de escala de cuarenta mil ppm que equivale al cien por cien del límite de explosividad (cuatro por ciento en volumen). La aplicación convierte los ppm del electroquímico a porcentaje del límite de explosividad empleando ese límite real. El hidrógeno no es tóxico; su riesgo es la explosividad.</w:t>
      </w:r>
    </w:p>
    <w:p>
      <w:pPr>
        <w:pStyle w:val="Heading2"/>
      </w:pPr>
      <w:r>
        <w:t xml:space="preserve">13.6 Estimación previa y lectura aproximada esperada</w:t>
      </w:r>
    </w:p>
    <w:p>
      <w:pPr>
        <w:spacing w:after="120"/>
      </w:pPr>
      <w:r>
        <w:t xml:space="preserve">El paso de equipos y lecturas está dividido en dos subpasos para garantizar el orden correcto del cálculo. En el primer subpaso se introduce la distancia al foco y, si procede, se estima el tamaño de la fuga o del charco; con ello la aplicación calcula la tasa de emisión y la concentración esperada. En el segundo subpaso se introducen las lecturas reales de cada celda. Hacer la estimación antes de las lecturas asegura que, cuando el operador vaya a anotar las mediciones, la concentración esperada ya esté calculada.</w:t>
      </w:r>
    </w:p>
    <w:p>
      <w:pPr>
        <w:spacing w:after="120"/>
      </w:pPr>
      <w:r>
        <w:t xml:space="preserve">En el subpaso de lecturas, si hay una estimación de derrame activa, junto a cada celda aparece entre paréntesis la lectura aproximada que debería dar el bombero a la distancia indicada. Para la celda de lectura directa se muestra el valor en partes por millón (o el porcentaje del límite de explosividad si la sustancia es inflamable); para las celdas que responden por sensibilidad cruzada se muestra el valor que daría la interferencia, calculado con el factor del fabricante y con su signo. El valor directo se resalta en verde y el cruzado en ámbar, en coherencia con el coloreado de la configuración de detectores.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Carácter orientativo de la lectura esperada</w:t>
            </w:r>
          </w:p>
          <w:p>
            <w:r>
              <w:t xml:space="preserve">La lectura esperada es una estimación por modelo de dispersión a partir del caudal calculado: indica el orden de magnitud que cabe esperar, no un valor exacto. Solo se muestra cuando existe una estimación de derrame, porque sin ella no hay base física para proyectar una cifra. Debe contrastarse siempre con la lectura real del detector; una discrepancia grande es, en sí misma, una señal que merece atención (fuente distinta de la supuesta, interferencia, o error de medida).</w:t>
            </w:r>
          </w:p>
        </w:tc>
      </w:tr>
    </w:tbl>
    <w:p>
      <w:r>
        <w:br w:type="page"/>
      </w:r>
    </w:p>
    <w:p>
      <w:pPr>
        <w:pStyle w:val="Heading1"/>
      </w:pPr>
      <w:r>
        <w:t xml:space="preserve">14. Alcance del modelo de dispersión</w:t>
      </w:r>
    </w:p>
    <w:p>
      <w:pPr>
        <w:spacing w:after="120"/>
      </w:pPr>
      <w:r>
        <w:t xml:space="preserve">Esta sección sitúa con honestidad la herramienta dentro de la jerarquía de modelos de dispersión atmosférica, para que el usuario sepa qué puede esperar de ella y qué no.</w:t>
      </w:r>
    </w:p>
    <w:p>
      <w:pPr>
        <w:pStyle w:val="Heading2"/>
      </w:pPr>
      <w:r>
        <w:t xml:space="preserve">14.1 La jerarquía de modelos</w:t>
      </w:r>
    </w:p>
    <w:p>
      <w:pPr>
        <w:spacing w:after="120"/>
      </w:pPr>
      <w:r>
        <w:t xml:space="preserve">Los modelos de dispersión se agrupan en tres niveles de creciente sofisticación y coste: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3460"/>
        <w:gridCol w:w="2400"/>
      </w:tblGrid>
      <w:tr>
        <w:trPr>
          <w:tblHeader/>
        </w:trPr>
        <w:tc>
          <w:tcPr>
            <w:tcW w:type="dxa" w:w="9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Nivel</w:t>
            </w:r>
          </w:p>
        </w:tc>
        <w:tc>
          <w:tcPr>
            <w:tcW w:type="dxa" w:w="32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Tipo</w:t>
            </w:r>
          </w:p>
        </w:tc>
        <w:tc>
          <w:tcPr>
            <w:tcW w:type="dxa" w:w="34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Ejemplos</w:t>
            </w:r>
          </w:p>
        </w:tc>
        <w:tc>
          <w:tcPr>
            <w:tcW w:type="dxa" w:w="2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Coste de cálculo</w:t>
            </w:r>
          </w:p>
        </w:tc>
      </w:tr>
      <w:tr>
        <w:tc>
          <w:tcPr>
            <w:tcW w:type="dxa" w:w="9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w:t>
            </w:r>
          </w:p>
        </w:tc>
        <w:tc>
          <w:tcPr>
            <w:tcW w:type="dxa" w:w="32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Gaussiano / tablas algebraicas</w:t>
            </w:r>
          </w:p>
        </w:tc>
        <w:tc>
          <w:tcPr>
            <w:tcW w:type="dxa" w:w="3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ALOHA (gaussiano), ERG, SITAC NBQ</w:t>
            </w:r>
          </w:p>
        </w:tc>
        <w:tc>
          <w:tcPr>
            <w:tcW w:type="dxa" w:w="2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Milisegundos (móvil)</w:t>
            </w:r>
          </w:p>
        </w:tc>
      </w:tr>
      <w:tr>
        <w:tc>
          <w:tcPr>
            <w:tcW w:type="dxa" w:w="9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2</w:t>
            </w:r>
          </w:p>
        </w:tc>
        <w:tc>
          <w:tcPr>
            <w:tcW w:type="dxa" w:w="32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Integrales de jet/pluma (ODEs validadas)</w:t>
            </w:r>
          </w:p>
        </w:tc>
        <w:tc>
          <w:tcPr>
            <w:tcW w:type="dxa" w:w="34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HGSYSTEM, PHAST/UDM, DEGADIS, SLAB</w:t>
            </w:r>
          </w:p>
        </w:tc>
        <w:tc>
          <w:tcPr>
            <w:tcW w:type="dxa" w:w="2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Segundos (PC + experto)</w:t>
            </w:r>
          </w:p>
        </w:tc>
      </w:tr>
      <w:tr>
        <w:tc>
          <w:tcPr>
            <w:tcW w:type="dxa" w:w="9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3</w:t>
            </w:r>
          </w:p>
        </w:tc>
        <w:tc>
          <w:tcPr>
            <w:tcW w:type="dxa" w:w="32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CFD (Navier-Stokes en malla 3D)</w:t>
            </w:r>
          </w:p>
        </w:tc>
        <w:tc>
          <w:tcPr>
            <w:tcW w:type="dxa" w:w="3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FLACS, ANSYS Fluent, OpenFOAM</w:t>
            </w:r>
          </w:p>
        </w:tc>
        <w:tc>
          <w:tcPr>
            <w:tcW w:type="dxa" w:w="2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Horas-días (clúster)</w:t>
            </w:r>
          </w:p>
        </w:tc>
      </w:tr>
    </w:tbl>
    <w:p>
      <w:pPr>
        <w:spacing w:after="80"/>
      </w:pPr>
      <w:r>
        <w:t xml:space="preserve"/>
      </w:r>
    </w:p>
    <w:p>
      <w:pPr>
        <w:spacing w:after="120"/>
      </w:pPr>
      <w:r>
        <w:t xml:space="preserve">SITAC NBQ se sitúa firmemente en el Nivel 1. Las mejoras físicas que incorpora (jet a presión, slumping de gas denso, efecto de temperatura y humedad, canalización topográfica) son heurísticas con la forma física correcta, no soluciones de las ecuaciones de gobierno.</w:t>
      </w:r>
    </w:p>
    <w:p>
      <w:pPr>
        <w:pStyle w:val="Heading2"/>
      </w:pPr>
      <w:r>
        <w:t xml:space="preserve">14.2 Qué nos separa de un modelo integral validado (Nivel 2)</w:t>
      </w:r>
    </w:p>
    <w:p>
      <w:pPr>
        <w:pStyle w:val="ListParagraph"/>
        <w:numPr>
          <w:ilvl w:val="0"/>
          <w:numId w:val="2"/>
        </w:numPr>
        <w:spacing w:after="60"/>
      </w:pPr>
      <w:r>
        <w:t xml:space="preserve">Conservación: un modelo integral como HGSYSTEM resuelve la conservación de masa, momento y energía a lo largo de la pluma, con arrastre de aire calculado físicamente. La herramienta aproxima esa curva con una función de forma cualitativa correcta, pero que no conserva las magnitudes.</w:t>
      </w:r>
    </w:p>
    <w:p>
      <w:pPr>
        <w:pStyle w:val="ListParagraph"/>
        <w:numPr>
          <w:ilvl w:val="0"/>
          <w:numId w:val="2"/>
        </w:numPr>
        <w:spacing w:after="60"/>
      </w:pPr>
      <w:r>
        <w:t xml:space="preserve">Termodinámica de la fuga: HGSYSTEM modela el flash (vaporización súbita al despresurizar un gas licuado), el rainout (gotas que caen y forman charco) y el aerosol bifásico. La herramienta trata la salida como líquido o gas, sin las dos fases.</w:t>
      </w:r>
    </w:p>
    <w:p>
      <w:pPr>
        <w:pStyle w:val="ListParagraph"/>
        <w:numPr>
          <w:ilvl w:val="0"/>
          <w:numId w:val="2"/>
        </w:numPr>
        <w:spacing w:after="60"/>
      </w:pPr>
      <w:r>
        <w:t xml:space="preserve">Validación: HGSYSTEM, DEGADIS y SLAB están contrastados contra liberaciones reales medidas en campo (Thorney Island, Burro, Desert Tortoise). Sus errores están caracterizados, típicamente en torno a un factor 2 en concentración. Las heurísticas de esta herramienta no están validadas experimentalmente.</w:t>
      </w:r>
    </w:p>
    <w:p>
      <w:pPr>
        <w:pStyle w:val="Heading2"/>
      </w:pPr>
      <w:r>
        <w:t xml:space="preserve">14.3 Qué nos separa de un CFD (Nivel 3)</w:t>
      </w:r>
    </w:p>
    <w:p>
      <w:pPr>
        <w:spacing w:after="120"/>
      </w:pPr>
      <w:r>
        <w:t xml:space="preserve">Además de todo lo anterior, un CFD resuelve el campo de viento sobre el terreno real (aceleración sobre colinas, estancamiento y recirculación tras edificios, efecto cañón urbano, turbulencia). La herramienta solo desvía los puffs hacia las cotas bajas con una heurística de gradiente. Ese nivel de detalle es inalcanzable en una aplicación de campo y, en general, innecesario para el primer despliegue.</w:t>
      </w:r>
    </w:p>
    <w:p>
      <w:pPr>
        <w:pStyle w:val="Heading2"/>
      </w:pPr>
      <w:r>
        <w:t xml:space="preserve">14.4 Para qué sirve cada nivel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2400"/>
        <w:gridCol w:w="2260"/>
      </w:tblGrid>
      <w:tr>
        <w:trPr>
          <w:tblHeader/>
        </w:trPr>
        <w:tc>
          <w:tcPr>
            <w:tcW w:type="dxa" w:w="22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Aspecto</w:t>
            </w:r>
          </w:p>
        </w:tc>
        <w:tc>
          <w:tcPr>
            <w:tcW w:type="dxa" w:w="25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SITAC NBQ (N1)</w:t>
            </w:r>
          </w:p>
        </w:tc>
        <w:tc>
          <w:tcPr>
            <w:tcW w:type="dxa" w:w="2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HGSYSTEM/PHAST (N2)</w:t>
            </w:r>
          </w:p>
        </w:tc>
        <w:tc>
          <w:tcPr>
            <w:tcW w:type="dxa" w:w="22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CFD (N3)</w:t>
            </w:r>
          </w:p>
        </w:tc>
      </w:tr>
      <w:tr>
        <w:tc>
          <w:tcPr>
            <w:tcW w:type="dxa" w:w="22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Momento de uso</w:t>
            </w:r>
          </w:p>
        </w:tc>
        <w:tc>
          <w:tcPr>
            <w:tcW w:type="dxa" w:w="25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Primer despliegue, en campo</w:t>
            </w:r>
          </w:p>
        </w:tc>
        <w:tc>
          <w:tcPr>
            <w:tcW w:type="dxa" w:w="2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Análisis de riesgo, peritaje</w:t>
            </w:r>
          </w:p>
        </w:tc>
        <w:tc>
          <w:tcPr>
            <w:tcW w:type="dxa" w:w="22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Diseño de planta, forense</w:t>
            </w:r>
          </w:p>
        </w:tc>
      </w:tr>
      <w:tr>
        <w:tc>
          <w:tcPr>
            <w:tcW w:type="dxa" w:w="22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Tiempo</w:t>
            </w:r>
          </w:p>
        </w:tc>
        <w:tc>
          <w:tcPr>
            <w:tcW w:type="dxa" w:w="25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Instantáneo</w:t>
            </w:r>
          </w:p>
        </w:tc>
        <w:tc>
          <w:tcPr>
            <w:tcW w:type="dxa" w:w="2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Minutos (con experto)</w:t>
            </w:r>
          </w:p>
        </w:tc>
        <w:tc>
          <w:tcPr>
            <w:tcW w:type="dxa" w:w="22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Horas-días</w:t>
            </w:r>
          </w:p>
        </w:tc>
      </w:tr>
      <w:tr>
        <w:tc>
          <w:tcPr>
            <w:tcW w:type="dxa" w:w="22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Operador</w:t>
            </w:r>
          </w:p>
        </w:tc>
        <w:tc>
          <w:tcPr>
            <w:tcW w:type="dxa" w:w="25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El mando en campo</w:t>
            </w:r>
          </w:p>
        </w:tc>
        <w:tc>
          <w:tcPr>
            <w:tcW w:type="dxa" w:w="2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Ingeniero de seguridad</w:t>
            </w:r>
          </w:p>
        </w:tc>
        <w:tc>
          <w:tcPr>
            <w:tcW w:type="dxa" w:w="22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Especialista CFD</w:t>
            </w:r>
          </w:p>
        </w:tc>
      </w:tr>
      <w:tr>
        <w:tc>
          <w:tcPr>
            <w:tcW w:type="dxa" w:w="22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Validado</w:t>
            </w:r>
          </w:p>
        </w:tc>
        <w:tc>
          <w:tcPr>
            <w:tcW w:type="dxa" w:w="25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No</w:t>
            </w:r>
          </w:p>
        </w:tc>
        <w:tc>
          <w:tcPr>
            <w:tcW w:type="dxa" w:w="2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Sí</w:t>
            </w:r>
          </w:p>
        </w:tc>
        <w:tc>
          <w:tcPr>
            <w:tcW w:type="dxa" w:w="22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Sí</w:t>
            </w:r>
          </w:p>
        </w:tc>
      </w:tr>
    </w:tbl>
    <w:p>
      <w:pPr>
        <w:spacing w:after="80"/>
      </w:pPr>
      <w:r>
        <w:t xml:space="preserve"/>
      </w:r>
    </w:p>
    <w:p>
      <w:pPr>
        <w:spacing w:after="120"/>
      </w:pPr>
      <w:r>
        <w:t xml:space="preserve">SITAC NBQ no compite con los modelos de Nivel 2 ni 3: ocupa deliberadamente otro lugar. Su valor es ofrecer un orden de magnitud y una tendencia en segundos cuando se está llegando al incidente sin otra herramienta. Un modelo integral da una cifra defendible más tarde, en un despacho y con un experto. No son sustitutos, sino momentos distintos de la respuesta. Por eso la herramienta integra la importación de la huella de ALOHA: para incorporar el cálculo de mayor nivel cuando esté disponible.</w:t>
      </w:r>
    </w:p>
    <w:p>
      <w:pPr>
        <w:pStyle w:val="Heading2"/>
      </w:pPr>
      <w:r>
        <w:t xml:space="preserve">14.5 Cuantificación honesta de la incertidumbre</w:t>
      </w:r>
    </w:p>
    <w:p>
      <w:pPr>
        <w:pStyle w:val="ListParagraph"/>
        <w:numPr>
          <w:ilvl w:val="0"/>
          <w:numId w:val="2"/>
        </w:numPr>
        <w:spacing w:after="60"/>
      </w:pPr>
      <w:r>
        <w:t xml:space="preserve">En fenomenología (hacia dónde va la nube, si sube o baja, si el chorro va alto cerca del foco), las tendencias son razonablemente correctas.</w:t>
      </w:r>
    </w:p>
    <w:p>
      <w:pPr>
        <w:pStyle w:val="ListParagraph"/>
        <w:numPr>
          <w:ilvl w:val="0"/>
          <w:numId w:val="2"/>
        </w:numPr>
        <w:spacing w:after="60"/>
      </w:pPr>
      <w:r>
        <w:t xml:space="preserve">En precisión numérica (cuántas ppm exactamente a una distancia dada), el error puede situarse fácilmente en un factor 3 a 10, frente al factor 2 de un modelo integral validado, y además ese error no está caracterizado experimentalmente.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Conclusión</w:t>
            </w:r>
          </w:p>
          <w:p>
            <w:r>
              <w:t xml:space="preserve">La insistencia de la herramienta en «estimación de gabinete, aplicar el método más restrictivo» no es una fórmula legal: refleja el lugar real que ocupa. Para la valoración oficial, use un modelo validado (ALOHA o superior) e importe su huella.</w:t>
            </w:r>
          </w:p>
        </w:tc>
      </w:tr>
    </w:tbl>
    <w:p>
      <w:r>
        <w:br w:type="page"/>
      </w:r>
    </w:p>
    <w:p>
      <w:pPr>
        <w:pStyle w:val="Heading1"/>
      </w:pPr>
      <w:r>
        <w:t xml:space="preserve">15. Fuentes normativas y limitaciones</w:t>
      </w:r>
    </w:p>
    <w:p>
      <w:pPr>
        <w:pStyle w:val="Heading2"/>
      </w:pPr>
      <w:r>
        <w:t xml:space="preserve">15.1 Fuentes</w:t>
      </w:r>
    </w:p>
    <w:p>
      <w:pPr>
        <w:pStyle w:val="ListParagraph"/>
        <w:numPr>
          <w:ilvl w:val="0"/>
          <w:numId w:val="2"/>
        </w:numPr>
        <w:spacing w:after="60"/>
      </w:pPr>
      <w:r>
        <w:t xml:space="preserve">Umbrales tóxicos: U.S. EPA AEGL-1/2/3 a 60 min (NRC/NAS).</w:t>
      </w:r>
    </w:p>
    <w:p>
      <w:pPr>
        <w:pStyle w:val="ListParagraph"/>
        <w:numPr>
          <w:ilvl w:val="0"/>
          <w:numId w:val="2"/>
        </w:numPr>
        <w:spacing w:after="60"/>
      </w:pPr>
      <w:r>
        <w:t xml:space="preserve">Inflamables: NFPA 72 / ATEX 2014/34/UE; datasheet del sensor MPS de NevadaNano (IEC 60079-20-1).</w:t>
      </w:r>
    </w:p>
    <w:p>
      <w:pPr>
        <w:pStyle w:val="ListParagraph"/>
        <w:numPr>
          <w:ilvl w:val="0"/>
          <w:numId w:val="2"/>
        </w:numPr>
        <w:spacing w:after="60"/>
      </w:pPr>
      <w:r>
        <w:t xml:space="preserve">Emergencia: CANUTEC ERG 2024, Tabla 1 (Cl₂ y NH₃ contrastados con NIOSH/CDC).</w:t>
      </w:r>
    </w:p>
    <w:p>
      <w:pPr>
        <w:pStyle w:val="ListParagraph"/>
        <w:numPr>
          <w:ilvl w:val="0"/>
          <w:numId w:val="2"/>
        </w:numPr>
        <w:spacing w:after="60"/>
      </w:pPr>
      <w:r>
        <w:t xml:space="preserve">Transporte: ADR 2025 / Libro Naranja ONU; RD 97/2014 (España).</w:t>
      </w:r>
    </w:p>
    <w:p>
      <w:pPr>
        <w:pStyle w:val="ListParagraph"/>
        <w:numPr>
          <w:ilvl w:val="0"/>
          <w:numId w:val="2"/>
        </w:numPr>
        <w:spacing w:after="60"/>
      </w:pPr>
      <w:r>
        <w:t xml:space="preserve">Modelo de gas denso: Britter &amp; McQuaid (1988); documentación técnica de ALOHA (NOAA/EPA).</w:t>
      </w:r>
    </w:p>
    <w:p>
      <w:pPr>
        <w:pStyle w:val="ListParagraph"/>
        <w:numPr>
          <w:ilvl w:val="0"/>
          <w:numId w:val="2"/>
        </w:numPr>
        <w:spacing w:after="60"/>
      </w:pPr>
      <w:r>
        <w:t xml:space="preserve">Propiedades físicas (densidad, presión de vapor): NIOSH Pocket Guide, CAMEO Chemicals, fichas de seguridad.</w:t>
      </w:r>
    </w:p>
    <w:p>
      <w:pPr>
        <w:pStyle w:val="ListParagraph"/>
        <w:numPr>
          <w:ilvl w:val="0"/>
          <w:numId w:val="2"/>
        </w:numPr>
        <w:spacing w:after="60"/>
      </w:pPr>
      <w:r>
        <w:t xml:space="preserve">Sensores: Blackline Safety; City Technology / Sensoric / NevadaNano MPS.</w:t>
      </w:r>
    </w:p>
    <w:p>
      <w:pPr>
        <w:pStyle w:val="ListParagraph"/>
        <w:numPr>
          <w:ilvl w:val="0"/>
          <w:numId w:val="2"/>
        </w:numPr>
        <w:spacing w:after="60"/>
      </w:pPr>
      <w:r>
        <w:t xml:space="preserve">Cartografía y elevación: OpenStreetMap, Esri World Imagery, API de elevación Open-Meteo.</w:t>
      </w:r>
    </w:p>
    <w:p>
      <w:pPr>
        <w:pStyle w:val="Heading2"/>
      </w:pPr>
      <w:r>
        <w:t xml:space="preserve">15.2 Limitaciones generales</w:t>
      </w:r>
    </w:p>
    <w:p>
      <w:pPr>
        <w:pStyle w:val="ListParagraph"/>
        <w:numPr>
          <w:ilvl w:val="0"/>
          <w:numId w:val="2"/>
        </w:numPr>
        <w:spacing w:after="60"/>
      </w:pPr>
      <w:r>
        <w:t xml:space="preserve">Herramienta de apoyo a la decisión; no es un instrumento de medida ni un código de dispersión certificado.</w:t>
      </w:r>
    </w:p>
    <w:p>
      <w:pPr>
        <w:pStyle w:val="ListParagraph"/>
        <w:numPr>
          <w:ilvl w:val="0"/>
          <w:numId w:val="2"/>
        </w:numPr>
        <w:spacing w:after="60"/>
      </w:pPr>
      <w:r>
        <w:t xml:space="preserve">Las probabilidades, niveles y plumas son orientativos y dependen de la calidad de las lecturas introducidas.</w:t>
      </w:r>
    </w:p>
    <w:p>
      <w:pPr>
        <w:pStyle w:val="ListParagraph"/>
        <w:numPr>
          <w:ilvl w:val="0"/>
          <w:numId w:val="2"/>
        </w:numPr>
        <w:spacing w:after="60"/>
      </w:pPr>
      <w:r>
        <w:t xml:space="preserve">El modelo de gas denso es la correlación de Britter-McQuaid (la física de ALOHA), no ALOHA ni un CFD; la canalización topográfica es heurística.</w:t>
      </w:r>
    </w:p>
    <w:p>
      <w:pPr>
        <w:pStyle w:val="ListParagraph"/>
        <w:numPr>
          <w:ilvl w:val="0"/>
          <w:numId w:val="2"/>
        </w:numPr>
        <w:spacing w:after="60"/>
      </w:pPr>
      <w:r>
        <w:t xml:space="preserve">La meteorología y la cartografía dependen de servicios externos; sin red se opera con datos manuales y caché.</w:t>
      </w:r>
    </w:p>
    <w:p>
      <w:pPr>
        <w:spacing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Recordatorio final</w:t>
            </w:r>
          </w:p>
          <w:p>
            <w:r>
              <w:t xml:space="preserve">Ninguna salida de SITAC NBQ sustituye la confirmación analítica de campo, el bump test de contraste ni el criterio del mando. Ante cualquier duda, máxima restricción.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6"/>
        <w:szCs w:val="16"/>
      </w:rPr>
      <w:t xml:space="preserve">SITAC NBQ · no sustituye la confirmación de campo · Página </w:t>
    </w:r>
    <w:r>
      <w:rPr>
        <w:color w:val="47556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E2" w:sz="4" w:space="2"/>
      </w:pBdr>
      <w:jc w:val="right"/>
    </w:pPr>
    <w:r>
      <w:rPr>
        <w:color w:val="475569"/>
        <w:sz w:val="16"/>
        <w:szCs w:val="16"/>
      </w:rPr>
      <w:t xml:space="preserve">SITAC NBQ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E6BA8" w:sz="6" w:space="4"/>
      </w:pBdr>
      <w:spacing w:after="160" w:before="300"/>
      <w:outlineLvl w:val="0"/>
    </w:pPr>
    <w:rPr>
      <w:rFonts w:ascii="Cambria" w:cs="Cambria" w:eastAsia="Cambria" w:hAnsi="Cambria"/>
      <w:b/>
      <w:bCs/>
      <w:color w:val="0B1F3A"/>
      <w:sz w:val="34"/>
      <w:szCs w:val="34"/>
    </w:rPr>
  </w:style>
  <w:style w:type="paragraph" w:styleId="Heading2">
    <w:name w:val="Heading 2"/>
    <w:basedOn w:val="Normal"/>
    <w:next w:val="Normal"/>
    <w:qFormat/>
    <w:pPr>
      <w:spacing w:after="100" w:before="200"/>
      <w:outlineLvl w:val="1"/>
    </w:pPr>
    <w:rPr>
      <w:rFonts w:ascii="Cambria" w:cs="Cambria" w:eastAsia="Cambria" w:hAnsi="Cambria"/>
      <w:b/>
      <w:bCs/>
      <w:color w:val="0E6BA8"/>
      <w:sz w:val="26"/>
      <w:szCs w:val="26"/>
    </w:rPr>
  </w:style>
  <w:style w:type="paragraph" w:styleId="Heading3">
    <w:name w:val="Heading 3"/>
    <w:basedOn w:val="Normal"/>
    <w:next w:val="Normal"/>
    <w:qFormat/>
    <w:pPr>
      <w:spacing w:after="80" w:before="14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SITAC NBQ</dc:title>
  <dc:creator>SITAC NBQ</dc:creator>
  <cp:lastModifiedBy>Un-named</cp:lastModifiedBy>
  <cp:revision>1</cp:revision>
  <dcterms:created xsi:type="dcterms:W3CDTF">2026-06-23T20:40:19.023Z</dcterms:created>
  <dcterms:modified xsi:type="dcterms:W3CDTF">2026-06-23T20:40:19.037Z</dcterms:modified>
</cp:coreProperties>
</file>

<file path=docProps/custom.xml><?xml version="1.0" encoding="utf-8"?>
<Properties xmlns="http://schemas.openxmlformats.org/officeDocument/2006/custom-properties" xmlns:vt="http://schemas.openxmlformats.org/officeDocument/2006/docPropsVTypes"/>
</file>