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0B1F3A"/>
          <w:sz w:val="96"/>
          <w:szCs w:val="96"/>
        </w:rPr>
        <w:t xml:space="preserve">SITAC NBQ</w:t>
      </w:r>
    </w:p>
    <w:p>
      <w:pPr>
        <w:spacing w:after="200"/>
        <w:jc w:val="center"/>
      </w:pPr>
      <w:r>
        <w:rPr>
          <w:color w:val="0E6BA8"/>
          <w:sz w:val="32"/>
          <w:szCs w:val="32"/>
        </w:rPr>
        <w:t xml:space="preserve">Sistema Táctico de Apoyo a la Decisión</w:t>
      </w:r>
    </w:p>
    <w:p>
      <w:pPr>
        <w:spacing w:after="80"/>
        <w:jc w:val="center"/>
      </w:pPr>
      <w:r>
        <w:rPr>
          <w:color w:val="475569"/>
          <w:sz w:val="26"/>
          <w:szCs w:val="26"/>
        </w:rPr>
        <w:t xml:space="preserve">Intervención NBQ y Mercancías Peligrosas</w:t>
      </w:r>
    </w:p>
    <w:p>
      <w:pPr>
        <w:spacing w:after="0" w:before="1600"/>
        <w:jc w:val="center"/>
      </w:pPr>
      <w:r>
        <w:rPr>
          <w:b/>
          <w:bCs/>
          <w:color w:val="222222"/>
          <w:sz w:val="28"/>
          <w:szCs w:val="28"/>
        </w:rPr>
        <w:t xml:space="preserve">MANUAL DE USUARIO Y REFERENCIA TÉCNICA</w:t>
      </w:r>
    </w:p>
    <w:p>
      <w:pPr>
        <w:spacing w:before="120"/>
        <w:jc w:val="center"/>
      </w:pPr>
      <w:r>
        <w:rPr>
          <w:color w:val="475569"/>
          <w:sz w:val="20"/>
          <w:szCs w:val="20"/>
        </w:rPr>
        <w:t xml:space="preserve">Versión de aplicación · junio 2026</w:t>
      </w:r>
    </w:p>
    <w:p>
      <w:pPr>
        <w:spacing w:after="0" w:before="400"/>
        <w:jc w:val="center"/>
      </w:pPr>
      <w:r>
        <w:rPr>
          <w:b/>
          <w:bCs/>
          <w:color w:val="0B1F3A"/>
          <w:sz w:val="24"/>
          <w:szCs w:val="24"/>
        </w:rPr>
        <w:t xml:space="preserve">Autor y creador:  NABIL NÚÑEZ</w:t>
      </w:r>
    </w:p>
    <w:p>
      <w:pPr>
        <w:spacing w:before="60"/>
        <w:jc w:val="center"/>
      </w:pPr>
      <w:r>
        <w:rPr>
          <w:i/>
          <w:iCs/>
          <w:color w:val="475569"/>
          <w:sz w:val="18"/>
          <w:szCs w:val="18"/>
        </w:rPr>
        <w:t xml:space="preserve">© Todos los derechos reservados al autor</w:t>
      </w:r>
    </w:p>
    <w:p>
      <w:pPr>
        <w:spacing w:before="1800"/>
        <w:jc w:val="center"/>
      </w:pPr>
      <w:r>
        <w:rPr>
          <w:b/>
          <w:bCs/>
          <w:color w:val="B91C1C"/>
          <w:sz w:val="16"/>
          <w:szCs w:val="16"/>
        </w:rPr>
        <w:t xml:space="preserve">DOCUMENTO DE APOYO — NO SUSTITUYE LA CONFIRMACIÓN ANALÍTICA DE CAMPO,</w:t>
      </w:r>
    </w:p>
    <w:p>
      <w:pPr>
        <w:jc w:val="center"/>
      </w:pPr>
      <w:r>
        <w:rPr>
          <w:b/>
          <w:bCs/>
          <w:color w:val="B91C1C"/>
          <w:sz w:val="16"/>
          <w:szCs w:val="16"/>
        </w:rPr>
        <w:t xml:space="preserve">EL BUMP TEST DE CONTRASTE NI EL CRITERIO DEL MANDO</w:t>
      </w:r>
    </w:p>
    <w:p>
      <w:r>
        <w:br w:type="page"/>
      </w:r>
    </w:p>
    <w:p>
      <w:pPr>
        <w:pStyle w:val="Heading1"/>
      </w:pPr>
      <w: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 y propósito</w:t>
      </w:r>
    </w:p>
    <w:p>
      <w:pPr>
        <w:spacing w:after="120"/>
      </w:pPr>
      <w:r>
        <w:t xml:space="preserve">SITAC NBQ es una aplicación web progresiva (PWA) de apoyo a la decisión para la intervención en emergencias con materias peligrosas y agentes NBQ. Funciona en smartphone, tablet o portátil de mando, y está diseñada para uso en campo, incluso sin cobertura tras la primera carga.</w:t>
      </w:r>
    </w:p>
    <w:p>
      <w:pPr>
        <w:spacing w:after="120"/>
      </w:pPr>
      <w:r>
        <w:t xml:space="preserve">La herramienta integra el ciclo de decisión en un flujo único: identificación del gas a partir de detectores con corrección de interferencias por sensibilidad cruzada, identificación documental por número ONU, análisis de cobertura del sensor (medición directa, cruzada o imposible), predicción de subproductos de reacción según el contenedor, asignación de nivel de riesgo según umbrales EPA AEGL, zonificación táctica con anclaje normativo ERG 2024, modelización de la pluma (geométrica, gaussiana, gas denso y dinámica con topografía), meteorología automática con refresco periódico, composición de la orden inicial de mando (GOM) y un conjunto de utilidades operativas (cuadro de mando, registro, compartición y enlace COP).</w:t>
      </w:r>
    </w:p>
    <w:p>
      <w:pPr>
        <w:spacing w:after="120"/>
      </w:pPr>
      <w:r>
        <w:t xml:space="preserve">La interfaz se organiza en pantallas separadas para uso táctil en campo y dispone de un asistente guiado de cuatro pasos para conducir la intervención desde la identificación hasta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Filosofía de uso</w:t>
            </w:r>
          </w:p>
          <w:p>
            <w:r>
              <w:t xml:space="preserve">Toda salida es orientativa y se rige por el principio de máxima restricción: ante incertidumbre, se adopta siempre la hipótesis más desfavorable. Ningún resultado sustituye la medición de contraste ni la decisión del mando.</w:t>
            </w:r>
          </w:p>
        </w:tc>
      </w:tr>
    </w:tbl>
    <w:p>
      <w:pPr>
        <w:spacing w:after="120"/>
      </w:pPr>
      <w:r>
        <w:t xml:space="preserve"/>
      </w:r>
    </w:p>
    <w:p>
      <w:pPr>
        <w:pStyle w:val="Heading1"/>
      </w:pPr>
      <w:r>
        <w:t xml:space="preserve">2. Instalación y primer uso</w:t>
      </w:r>
    </w:p>
    <w:p>
      <w:pPr>
        <w:pStyle w:val="Heading2"/>
      </w:pPr>
      <w:r>
        <w:t xml:space="preserve">2.1 Despliegue</w:t>
      </w:r>
    </w:p>
    <w:p>
      <w:pPr>
        <w:spacing w:after="120"/>
      </w:pPr>
      <w:r>
        <w:t xml:space="preserve">La aplicación se compone de cinco archivos que deben alojarse juntos en un servidor con HTTPS (GitHub Pages, Netlify, Vercel o servidor propio):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Archivo</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Función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index.html</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Aplicación completa</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manifest.json</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Manifiesto PWA (icono, nombre, modo standalone)</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sw.js</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Service Worker — funcionamiento offline</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icono-192.png / icono-512.png</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Iconos de instalación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Requisito de HTTPS</w:t>
            </w:r>
          </w:p>
          <w:p>
            <w:r>
              <w:t xml:space="preserve">El GPS, la brújula y el Service Worker solo funcionan bajo HTTPS (o en http://localhost para pruebas). En http simple quedarán deshabilitados.</w:t>
            </w:r>
          </w:p>
        </w:tc>
      </w:tr>
    </w:tbl>
    <w:p>
      <w:pPr>
        <w:pStyle w:val="Heading2"/>
      </w:pPr>
      <w:r>
        <w:t xml:space="preserve">2.2 Instalación como app</w:t>
      </w:r>
    </w:p>
    <w:p>
      <w:pPr>
        <w:spacing w:after="120"/>
      </w:pPr>
      <w:r>
        <w:t xml:space="preserve">Abrir la URL en el navegador del dispositivo y elegir «Añadir a pantalla de inicio». La aplicación se instala como una app independiente y queda disponible offline tras la primera apertura con cobertura.</w:t>
      </w:r>
    </w:p>
    <w:p>
      <w:pPr>
        <w:pStyle w:val="Heading2"/>
      </w:pPr>
      <w:r>
        <w:t xml:space="preserve">2.3 Funcionamiento offline</w:t>
      </w:r>
    </w:p>
    <w:p>
      <w:pPr>
        <w:pStyle w:val="ListParagraph"/>
        <w:numPr>
          <w:ilvl w:val="0"/>
          <w:numId w:val="2"/>
        </w:numPr>
        <w:spacing w:after="60"/>
      </w:pPr>
      <w:r>
        <w:t xml:space="preserve">El núcleo de la aplicación y la librería de mapas quedan precargados en la instalación.</w:t>
      </w:r>
    </w:p>
    <w:p>
      <w:pPr>
        <w:pStyle w:val="ListParagraph"/>
        <w:numPr>
          <w:ilvl w:val="0"/>
          <w:numId w:val="2"/>
        </w:numPr>
        <w:spacing w:after="60"/>
      </w:pPr>
      <w:r>
        <w:t xml:space="preserve">Las teselas de mapa se cachean al navegarlas con cobertura: conviene recorrer la zona de intervención en el mapa antes de perder señal.</w:t>
      </w:r>
    </w:p>
    <w:p>
      <w:pPr>
        <w:pStyle w:val="ListParagraph"/>
        <w:numPr>
          <w:ilvl w:val="0"/>
          <w:numId w:val="2"/>
        </w:numPr>
        <w:spacing w:after="60"/>
      </w:pPr>
      <w:r>
        <w:t xml:space="preserve">El modelo de elevación (topografía) también se cachea, ya que el terreno no cambia.</w:t>
      </w:r>
    </w:p>
    <w:p>
      <w:pPr>
        <w:pStyle w:val="ListParagraph"/>
        <w:numPr>
          <w:ilvl w:val="0"/>
          <w:numId w:val="2"/>
        </w:numPr>
        <w:spacing w:after="60"/>
      </w:pPr>
      <w:r>
        <w:t xml:space="preserve">La meteorología automática requiere red y nunca se sirve caducada; sin cobertura, se introduce el viento manualmente.</w:t>
      </w:r>
    </w:p>
    <w:p>
      <w:r>
        <w:br w:type="page"/>
      </w:r>
    </w:p>
    <w:p>
      <w:pPr>
        <w:pStyle w:val="Heading1"/>
      </w:pPr>
      <w:r>
        <w:t xml:space="preserve">3. Flujo operativo paso a paso</w:t>
      </w:r>
    </w:p>
    <w:p>
      <w:pPr>
        <w:spacing w:after="120"/>
      </w:pPr>
      <w:r>
        <w:t xml:space="preserve">La aplicación está diseñada para guiar la intervención de principio a fin con un único hilo conductor, evitando el desplazamiento y la duplicidad de datos entre pantallas. El recorrido es: pantalla de bienvenida, asistente de siete pasos y, una vez obtenido el resultado, un menú de operación con las cinco áreas de trabajo.</w:t>
      </w:r>
    </w:p>
    <w:p>
      <w:pPr>
        <w:pStyle w:val="Heading2"/>
      </w:pPr>
      <w:r>
        <w:t xml:space="preserve">3.1 Pantalla de bienvenida y guía rápida</w:t>
      </w:r>
    </w:p>
    <w:p>
      <w:pPr>
        <w:spacing w:after="120"/>
      </w:pPr>
      <w:r>
        <w:t xml:space="preserve">Al arrancar, la aplicación muestra una pantalla de bienvenida con una guía rápida del flujo, pensada para orientar antes de operar. Desde ella se accede al cuadro de mando, que resume el estado de la intervención: el nivel global de riesgo (con un semáforo permanente en la cabecera, visible en todas las pantallas), la concentración frente a los umbrales, el viento, la posición GPS y el temporizador de reevaluación. El cuadro de mando ofrece «Nueva intervención (guiada)», que abre el asistente, e «Ir a operación», que lleva al menú de áreas de trabajo cuando ya hay un análisis.</w:t>
      </w:r>
    </w:p>
    <w:p>
      <w:pPr>
        <w:pStyle w:val="Heading2"/>
      </w:pPr>
      <w:r>
        <w:t xml:space="preserve">3.2 Asistente guiado de siete pasos</w:t>
      </w:r>
    </w:p>
    <w:p>
      <w:pPr>
        <w:spacing w:after="120"/>
      </w:pPr>
      <w:r>
        <w:t xml:space="preserve">El asistente conduce la intervención por pantallas de un solo foco, con un único botón de avance en la parte inferior (fijo, siempre accesible):</w:t>
      </w:r>
    </w:p>
    <w:p>
      <w:pPr>
        <w:pStyle w:val="ListParagraph"/>
        <w:numPr>
          <w:ilvl w:val="0"/>
          <w:numId w:val="3"/>
        </w:numPr>
        <w:spacing w:after="60"/>
      </w:pPr>
      <w:r>
        <w:t xml:space="preserve">Sustancia: identificación por número ONU mediante teclado a pantalla completa, o salto directo a las lecturas del detector.</w:t>
      </w:r>
    </w:p>
    <w:p>
      <w:pPr>
        <w:pStyle w:val="ListParagraph"/>
        <w:numPr>
          <w:ilvl w:val="0"/>
          <w:numId w:val="3"/>
        </w:numPr>
        <w:spacing w:after="60"/>
      </w:pPr>
      <w:r>
        <w:t xml:space="preserve">Meteorología: captura del viento real por GPS con un toque. Incluye la casilla de actualización automática cada 15 minutos. Los datos capturados se vuelcan automáticamente a la zonificación, la pluma y el análisis.</w:t>
      </w:r>
    </w:p>
    <w:p>
      <w:pPr>
        <w:pStyle w:val="ListParagraph"/>
        <w:numPr>
          <w:ilvl w:val="0"/>
          <w:numId w:val="3"/>
        </w:numPr>
        <w:spacing w:after="60"/>
      </w:pPr>
      <w:r>
        <w:t xml:space="preserve">Riesgo y reacciones: diagnóstico de cobertura del sensor (directa, por sensibilidad cruzada o imposible), selección del envase/almacenamiento y predicción de subproductos de reacción (ver sección 4).</w:t>
      </w:r>
    </w:p>
    <w:p>
      <w:pPr>
        <w:pStyle w:val="ListParagraph"/>
        <w:numPr>
          <w:ilvl w:val="0"/>
          <w:numId w:val="3"/>
        </w:numPr>
        <w:spacing w:after="60"/>
      </w:pPr>
      <w:r>
        <w:t xml:space="preserve">Equipos y lecturas: en dos acordeones, la configuración de detectores con sus lecturas (y la distancia detector-foco) y la estimación por fuga/charco (orificio, tiempo, temperatura y diámetro del charco), disponible siempre.</w:t>
      </w:r>
    </w:p>
    <w:p>
      <w:pPr>
        <w:pStyle w:val="ListParagraph"/>
        <w:numPr>
          <w:ilvl w:val="0"/>
          <w:numId w:val="3"/>
        </w:numPr>
        <w:spacing w:after="60"/>
      </w:pPr>
      <w:r>
        <w:t xml:space="preserve">Sector / actividad: selección del contexto del aviso mediante un selector. La elección se propaga al resto del análisis para corroborar la coherencia de los gases detectados con la firma del sector.</w:t>
      </w:r>
    </w:p>
    <w:p>
      <w:pPr>
        <w:pStyle w:val="ListParagraph"/>
        <w:numPr>
          <w:ilvl w:val="0"/>
          <w:numId w:val="3"/>
        </w:numPr>
        <w:spacing w:after="60"/>
      </w:pPr>
      <w:r>
        <w:t xml:space="preserve">Modelo de dispersión: la aplicación propone el modelo más adecuado según la tipología del producto (gaussiano para gas neutro o ligero, gas denso de Britter-McQuaid para vapores pesados, fase de jet para fugas a presión). El usuario puede aceptarlo o cambiarlo.</w:t>
      </w:r>
    </w:p>
    <w:p>
      <w:pPr>
        <w:pStyle w:val="ListParagraph"/>
        <w:numPr>
          <w:ilvl w:val="0"/>
          <w:numId w:val="3"/>
        </w:numPr>
        <w:spacing w:after="60"/>
      </w:pPr>
      <w:r>
        <w:t xml:space="preserve">Resultado: semáforo de nivel de riesgo. Un único botón «Continuar» da paso al menú de operación.</w:t>
      </w:r>
    </w:p>
    <w:p>
      <w:pPr>
        <w:pStyle w:val="Heading2"/>
      </w:pPr>
      <w:r>
        <w:t xml:space="preserve">3.3 Menú de operación</w:t>
      </w:r>
    </w:p>
    <w:p>
      <w:pPr>
        <w:spacing w:after="120"/>
      </w:pPr>
      <w:r>
        <w:t xml:space="preserve">Tras el análisis se presenta un menú de botones grandes con las cinco áreas de trabajo, más Registro y Compartir. Cada botón abre una pantalla con contenido específico y sin duplicidades, lo que evita confusión sobre dónde está cada dato:</w:t>
      </w:r>
    </w:p>
    <w:p>
      <w:pPr>
        <w:pStyle w:val="ListParagraph"/>
        <w:numPr>
          <w:ilvl w:val="0"/>
          <w:numId w:val="2"/>
        </w:numPr>
        <w:spacing w:after="60"/>
      </w:pPr>
      <w:r>
        <w:t xml:space="preserve">Meteo: viento y condiciones atmosféricas, con captura por GPS y refresco automático. Es el único lugar donde se gestiona la meteorología.</w:t>
      </w:r>
    </w:p>
    <w:p>
      <w:pPr>
        <w:pStyle w:val="ListParagraph"/>
        <w:numPr>
          <w:ilvl w:val="0"/>
          <w:numId w:val="2"/>
        </w:numPr>
        <w:spacing w:after="60"/>
      </w:pPr>
      <w:r>
        <w:t xml:space="preserve">Análisis: semáforo de nivel, dictamen y, si se seleccionó sector, la corroboración. Los candidatos por probabilidad y la corroboración con el sector se consolidan en la pantalla de Compartir, junto al dictamen, para su revisión antes de enviarlo al mando.</w:t>
      </w:r>
    </w:p>
    <w:p>
      <w:pPr>
        <w:pStyle w:val="ListParagraph"/>
        <w:numPr>
          <w:ilvl w:val="0"/>
          <w:numId w:val="2"/>
        </w:numPr>
        <w:spacing w:after="60"/>
      </w:pPr>
      <w:r>
        <w:t xml:space="preserve">Zonas: la zonificación táctica (perímetros, escenario ERG, estimación del derrame). No repite la meteorología, que tiene su propia pantalla.</w:t>
      </w:r>
    </w:p>
    <w:p>
      <w:pPr>
        <w:pStyle w:val="ListParagraph"/>
        <w:numPr>
          <w:ilvl w:val="0"/>
          <w:numId w:val="2"/>
        </w:numPr>
        <w:spacing w:after="60"/>
      </w:pPr>
      <w:r>
        <w:t xml:space="preserve">Mapa: exclusivamente el mapa de dispersión con la planta (vista cenital) y el perfil (alzado) de la pluma, precedido de una pantalla previa orientativa.</w:t>
      </w:r>
    </w:p>
    <w:p>
      <w:pPr>
        <w:pStyle w:val="ListParagraph"/>
        <w:numPr>
          <w:ilvl w:val="0"/>
          <w:numId w:val="2"/>
        </w:numPr>
        <w:spacing w:after="60"/>
      </w:pPr>
      <w:r>
        <w:t xml:space="preserve">Orden: compone la orden inicial GOM a partir del dictamen (ver sección 9).</w:t>
      </w:r>
    </w:p>
    <w:p>
      <w:pPr>
        <w:spacing w:after="120"/>
      </w:pPr>
      <w:r>
        <w:t xml:space="preserve">Un botón flotante de reanálisis, presente en el menú y en la pantalla de análisis, abre una ventana con cuatro vías de recálculo: por nueva lectura de sensor, por charco (evaporación), por fuga (caudal del orificio) y por forzado de la meteorología. Cualquiera de ellas recalcula el nivel, las zonas, el dictamen y la orden, y registra el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Sin duplicidades</w:t>
            </w:r>
          </w:p>
          <w:p>
            <w:r>
              <w:t xml:space="preserve">Cada dato vive en una sola pantalla: la meteo en Meteo, las zonas en Zonas, los candidatos en Compartir. Esto evita que un mismo valor aparezca en dos sitios con riesgo de incoherencia, un problema clásico de usabilidad al pasar de un panel de escritorio a una pantalla pequeña.</w:t>
            </w:r>
          </w:p>
        </w:tc>
      </w:tr>
    </w:tbl>
    <w:p>
      <w:r>
        <w:br w:type="page"/>
      </w:r>
    </w:p>
    <w:p>
      <w:pPr>
        <w:pStyle w:val="Heading1"/>
      </w:pPr>
      <w:r>
        <w:t xml:space="preserve">4. Identificación de gas y sensibilidad cruzada</w:t>
      </w:r>
    </w:p>
    <w:p>
      <w:pPr>
        <w:spacing w:after="120"/>
      </w:pPr>
      <w:r>
        <w:t xml:space="preserve">El motor cruza las lecturas de ambos detectores y resuelve las interferencias mutuas entre celdas electroquímicas antes de cualquier cálculo posterior.</w:t>
      </w:r>
    </w:p>
    <w:p>
      <w:pPr>
        <w:pStyle w:val="Heading2"/>
      </w:pPr>
      <w:r>
        <w:t xml:space="preserve">4.1 Matriz de respuesta cruzada</w:t>
      </w:r>
    </w:p>
    <w:p>
      <w:pPr>
        <w:spacing w:after="120"/>
      </w:pPr>
      <w:r>
        <w:t xml:space="preserve">Cada celda responde parcialmente a gases distintos del objetivo (por ejemplo, el H₂ satura el canal de CO; el H₂S falsea las celdas de Cl₂ y SO₂). La matriz de factores de respuesta se resuelve por iteración de Gauss-Seidel para estimar las concentraciones reales.</w:t>
      </w:r>
    </w:p>
    <w:p>
      <w:pPr>
        <w:pStyle w:val="Heading2"/>
      </w:pPr>
      <w:r>
        <w:t xml:space="preserve">4.2 Salvaguardas de seguridad</w:t>
      </w:r>
    </w:p>
    <w:p>
      <w:pPr>
        <w:pStyle w:val="ListParagraph"/>
        <w:numPr>
          <w:ilvl w:val="0"/>
          <w:numId w:val="2"/>
        </w:numPr>
        <w:spacing w:after="60"/>
      </w:pPr>
      <w:r>
        <w:rPr>
          <w:b/>
          <w:bCs/>
        </w:rPr>
        <w:t xml:space="preserve">No inventa detecciones: </w:t>
      </w:r>
      <w:r>
        <w:t xml:space="preserve">una celda a cero nunca produce una concentración positiva por compensación.</w:t>
      </w:r>
    </w:p>
    <w:p>
      <w:pPr>
        <w:pStyle w:val="ListParagraph"/>
        <w:numPr>
          <w:ilvl w:val="0"/>
          <w:numId w:val="2"/>
        </w:numPr>
        <w:spacing w:after="60"/>
      </w:pPr>
      <w:r>
        <w:rPr>
          <w:b/>
          <w:bCs/>
        </w:rPr>
        <w:t xml:space="preserve">Canales conocidos como interferentes: </w:t>
      </w:r>
      <w:r>
        <w:t xml:space="preserve">el H₂ y otros canales fiables se descuentan como concentración conocida.</w:t>
      </w:r>
    </w:p>
    <w:p>
      <w:pPr>
        <w:pStyle w:val="ListParagraph"/>
        <w:numPr>
          <w:ilvl w:val="0"/>
          <w:numId w:val="2"/>
        </w:numPr>
        <w:spacing w:after="60"/>
      </w:pPr>
      <w:r>
        <w:rPr>
          <w:b/>
          <w:bCs/>
        </w:rPr>
        <w:t xml:space="preserve">Avisos de supresión: </w:t>
      </w:r>
      <w:r>
        <w:t xml:space="preserve">si un gas presente puede estar restando señal a una celda que marca cero, se avisa de que la lectura nula no garantiza ausencia.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Contraste obligatorio</w:t>
            </w:r>
          </w:p>
          <w:p>
            <w:r>
              <w:t xml:space="preserve">Los valores corregidos son orientativos. Toda lectura debe contrastarse con bump test y, en su caso, con tubo colorimétrico o detector alternativo.</w:t>
            </w:r>
          </w:p>
        </w:tc>
      </w:tr>
    </w:tbl>
    <w:p>
      <w:pPr>
        <w:pStyle w:val="Heading2"/>
      </w:pPr>
      <w:r>
        <w:t xml:space="preserve">4.4 Cobertura del sensor y recomendación de equipo</w:t>
      </w:r>
    </w:p>
    <w:p>
      <w:pPr>
        <w:spacing w:after="120"/>
      </w:pPr>
      <w:r>
        <w:t xml:space="preserve">Cuando la sustancia se identifica por número ONU, la herramienta determina si los detectores pueden medirla y clasifica el caso en tres situaciones: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Situación</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Significado y actuación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Medición directa</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Existe una celda específica que lee el gas. Se preselecciona el equipo recomendado.</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Sensibilidad cruzada</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 hay celda propia, pero otra responde con un factor conocido. Se recomienda el equipo, se muestra el factor y se aplica la corrección al analizar.</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Imposible detectar</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Ninguna celda disponible responde. Se opta por el método más restrictivo o por la estimación por derrame/fuga.</w:t>
            </w:r>
          </w:p>
        </w:tc>
      </w:tr>
    </w:tbl>
    <w:p>
      <w:pPr>
        <w:spacing w:after="80"/>
      </w:pPr>
      <w:r>
        <w:t xml:space="preserve"/>
      </w:r>
    </w:p>
    <w:p>
      <w:pPr>
        <w:pStyle w:val="Heading2"/>
      </w:pPr>
      <w:r>
        <w:t xml:space="preserve">4.5 Probabilidad de corroboración y ppm esperadas</w:t>
      </w:r>
    </w:p>
    <w:p>
      <w:pPr>
        <w:spacing w:after="120"/>
      </w:pPr>
      <w:r>
        <w:t xml:space="preserve">En el caso de sensibilidad cruzada, la aplicación estima la probabilidad de que la lectura corrobore el producto declarado por el ONU (combinando la magnitud del factor cruzado y la ambigüedad cuando varias celdas compiten) e indica las ppm esperadas en cada sensor que responde al gas, para una concentración real de referencia. Esto permite contrastar lo que el detector muestra con lo que debería mostrar si la sustancia es la declarada.</w:t>
      </w:r>
    </w:p>
    <w:p>
      <w:pPr>
        <w:pStyle w:val="Heading2"/>
      </w:pPr>
      <w:r>
        <w:t xml:space="preserve">4.6 Subproductos de reacción según el contenedor</w:t>
      </w:r>
    </w:p>
    <w:p>
      <w:pPr>
        <w:spacing w:after="120"/>
      </w:pPr>
      <w:r>
        <w:t xml:space="preserve">A partir del envase o forma de almacenamiento (cisterna de acero, inoxidable, aluminio, presurizada, depósito fijo, IBC de plástico, tubería o granel), la herramienta predice subproductos peligrosos de reacciones documentadas e indica con qué sensor detectarlos. El material de contacto define la reacción: un ácido sobre acero o aluminio libera hidrógeno (riesgo explosivo, detectable con MPS); una base fuerte sobre aluminio también; el ácido clorhídrico desprende niebla de HCl; el ácido nítrico, óxidos de nitrógeno; un contenido presurizado advierte de liberación súbita y riesgo de BLEVE.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Predicción cualitativa</w:t>
            </w:r>
          </w:p>
          <w:p>
            <w:r>
              <w:t xml:space="preserve">La predicción de subproductos es cualitativa: indica qué gas esperar y su peligro, no su cantidad exacta, que depende de la concentración, la temperatura y la superficie de contacto. La estimación por derrame es de gabinete y de alta incertidumbre.</w:t>
            </w:r>
          </w:p>
        </w:tc>
      </w:tr>
    </w:tbl>
    <w:p>
      <w:pPr>
        <w:pStyle w:val="Heading2"/>
      </w:pPr>
      <w:r>
        <w:t xml:space="preserve">4.7 Sensor MPS: medición en % LEL, no en ppm</w:t>
      </w:r>
    </w:p>
    <w:p>
      <w:pPr>
        <w:spacing w:after="120"/>
      </w:pPr>
      <w:r>
        <w:t xml:space="preserve">El sensor MPS de NevadaNano mide explosividad: su lectura es el porcentaje del límite inferior de explosividad (% LEL), no una concentración tóxica en ppm. Son magnitudes físicas distintas y no deben confundirse: un gas puede estar muy por debajo de su LEL y aun así ser tóxico, o al contrario. La aplicación trata el canal MPS íntegramente en % LEL, sin convertirlo a ppm.</w:t>
      </w:r>
    </w:p>
    <w:p>
      <w:pPr>
        <w:spacing w:after="120"/>
      </w:pPr>
      <w:r>
        <w:t xml:space="preserve">El nivel de riesgo del canal MPS se asigna según las alarmas habituales del equipo y el criterio ATEX: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4460"/>
      </w:tblGrid>
      <w:tr>
        <w:trPr>
          <w:tblHeader/>
        </w:trPr>
        <w:tc>
          <w:tcPr>
            <w:tcW w:type="dxa" w:w="2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MPS</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Alarma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4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táctica</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Vigilancia.</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Alerta de explosividad.</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A2</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Atmósfera explosiva — evacuar y eliminar focos de ignición.</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Riesgo de deflagración — exclusión ATEX.</w:t>
            </w:r>
          </w:p>
        </w:tc>
      </w:tr>
    </w:tbl>
    <w:p>
      <w:pPr>
        <w:spacing w:after="80"/>
      </w:pPr>
      <w:r>
        <w:t xml:space="preserve"/>
      </w:r>
    </w:p>
    <w:p>
      <w:pPr>
        <w:spacing w:after="120"/>
      </w:pPr>
      <w:r>
        <w:t xml:space="preserve">Si hay una lectura de MPS sin sustancia identificada por ONU, la aplicación la presenta como gas o vapor inflamable sin especiar, avisando del riesgo de explosividad e invitando a identificar la sustancia, ya que el MPS no distingue de qué mezcla se 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Explosividad frente a toxicidad</w:t>
            </w:r>
          </w:p>
          <w:p>
            <w:r>
              <w:t xml:space="preserve">El MPS cubre el riesgo de explosión, no el tóxico. Para sustancias tóxicas se requiere la celda electroquímica correspondiente. Las alarmas A1 (20 %) y A2 (40 %) son valores habituales de configuración; verifique los de su equipo.</w:t>
            </w:r>
          </w:p>
        </w:tc>
      </w:tr>
    </w:tbl>
    <w:p>
      <w:r>
        <w:br w:type="page"/>
      </w:r>
    </w:p>
    <w:p>
      <w:pPr>
        <w:pStyle w:val="Heading1"/>
      </w:pPr>
      <w:r>
        <w:t xml:space="preserve">5. Identificación por número ONU</w:t>
      </w:r>
    </w:p>
    <w:p>
      <w:pPr>
        <w:spacing w:after="120"/>
      </w:pPr>
      <w:r>
        <w:t xml:space="preserve">Cuando la sustancia se conoce documentalmente (panel naranja, carta de porte, etiqueta), su número ONU permite cargar directamente sus propiedades y preparar la medición.</w:t>
      </w:r>
    </w:p>
    <w:p>
      <w:pPr>
        <w:pStyle w:val="Heading2"/>
      </w:pPr>
      <w:r>
        <w:t xml:space="preserve">5.1 Qué hace al introducir el ONU</w:t>
      </w:r>
    </w:p>
    <w:p>
      <w:pPr>
        <w:pStyle w:val="ListParagraph"/>
        <w:numPr>
          <w:ilvl w:val="0"/>
          <w:numId w:val="3"/>
        </w:numPr>
        <w:spacing w:after="60"/>
      </w:pPr>
      <w:r>
        <w:t xml:space="preserve">Carga las propiedades fisicoquímicas: peso molecular, densidad de vapor relativa al aire, estado físico, comportamiento (gas pesado que sigue el terreno o ligero que asciende), umbral AEGL-3 y guía ERG.</w:t>
      </w:r>
    </w:p>
    <w:p>
      <w:pPr>
        <w:pStyle w:val="ListParagraph"/>
        <w:numPr>
          <w:ilvl w:val="0"/>
          <w:numId w:val="3"/>
        </w:numPr>
        <w:spacing w:after="60"/>
      </w:pPr>
      <w:r>
        <w:t xml:space="preserve">Identifica y resalta el sensor principal que mide ese gas en el detector, junto con los canales que pueden presentar respuesta cruzada.</w:t>
      </w:r>
    </w:p>
    <w:p>
      <w:pPr>
        <w:pStyle w:val="ListParagraph"/>
        <w:numPr>
          <w:ilvl w:val="0"/>
          <w:numId w:val="3"/>
        </w:numPr>
        <w:spacing w:after="60"/>
      </w:pPr>
      <w:r>
        <w:t xml:space="preserve">Autoselecciona la configuración del detector que incluye ese canal si la activa no lo tiene.</w:t>
      </w:r>
    </w:p>
    <w:p>
      <w:pPr>
        <w:pStyle w:val="ListParagraph"/>
        <w:numPr>
          <w:ilvl w:val="0"/>
          <w:numId w:val="3"/>
        </w:numPr>
        <w:spacing w:after="60"/>
      </w:pPr>
      <w:r>
        <w:t xml:space="preserve">Ofrece entrada manual de concentración, imprescindible para compuestos sin celda directa (fosgeno, formaldehído, ozono), recomendando tubo colorimétrico o PID con factor de corrección.</w:t>
      </w:r>
    </w:p>
    <w:p>
      <w:pPr>
        <w:pStyle w:val="ListParagraph"/>
        <w:numPr>
          <w:ilvl w:val="0"/>
          <w:numId w:val="3"/>
        </w:numPr>
        <w:spacing w:after="60"/>
      </w:pPr>
      <w:r>
        <w:t xml:space="preserve">Con «Analizar», fuerza ese compuesto con prioridad máxima: la identificación documental prevalece sobre la inferencia de firma.</w:t>
      </w:r>
    </w:p>
    <w:p>
      <w:pPr>
        <w:pStyle w:val="Heading2"/>
      </w:pPr>
      <w:r>
        <w:t xml:space="preserve">5.2 Propiedades fisicoquímicas incorporadas</w:t>
      </w:r>
    </w:p>
    <w:p>
      <w:pPr>
        <w:spacing w:after="120"/>
      </w:pPr>
      <w:r>
        <w:t xml:space="preserve">La base incluye, entre otros: Cl₂, NH₃, H₂S, HCN, SO₂, HF, CO, HCl, NO₂, O₃, formaldehído, fosgeno, peróxido de hidrógeno, mercaptanos, H₂, gas natural, propano y butano. Cada uno con peso molecular y densidad de vapor para los cálculos de conversión y comportamiento.</w:t>
      </w:r>
    </w:p>
    <w:p>
      <w:r>
        <w:br w:type="page"/>
      </w:r>
    </w:p>
    <w:p>
      <w:pPr>
        <w:pStyle w:val="Heading1"/>
      </w:pPr>
      <w:r>
        <w:t xml:space="preserve">6. Modelización de la pluma</w:t>
      </w:r>
    </w:p>
    <w:p>
      <w:pPr>
        <w:spacing w:after="120"/>
      </w:pPr>
      <w:r>
        <w:t xml:space="preserve">La aplicación ofrece tres niveles de modelización, de menor a mayor sofisticación, todos como apoyo orientativo.</w:t>
      </w:r>
    </w:p>
    <w:p>
      <w:pPr>
        <w:pStyle w:val="Heading2"/>
      </w:pPr>
      <w:r>
        <w:t xml:space="preserve">6.1 Modelo geométrico (orientativo)</w:t>
      </w:r>
    </w:p>
    <w:p>
      <w:pPr>
        <w:spacing w:after="120"/>
      </w:pPr>
      <w:r>
        <w:t xml:space="preserve">Decaimiento de concentración hacia los isopletos AEGL-1/2/3, modulado por viento y escala de sector, con anclaje en la Tabla 1 del ERG 2024 (aislamiento inicial y distancias de acción protectora día/noche).</w:t>
      </w:r>
    </w:p>
    <w:p>
      <w:pPr>
        <w:pStyle w:val="Heading2"/>
      </w:pPr>
      <w:r>
        <w:t xml:space="preserve">6.2 Modelo gaussiano (Pasquill-Gifford + Briggs)</w:t>
      </w:r>
    </w:p>
    <w:p>
      <w:pPr>
        <w:spacing w:after="120"/>
      </w:pPr>
      <w:r>
        <w:t xml:space="preserve">Modelo de pluma continua a nivel del suelo con reflexión. A partir de la lectura del detector y la distancia al foco, estima la tasa de emisión Q por cálculo inverso, y proyecta las distancias a cada umbral AEGL aguas abajo. Un selector permite forzar el modelo gaussiano, el de gas denso, o dejarlo en automático (gas denso si la densidad de vapor supera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Parámetro</w:t>
            </w:r>
          </w:p>
        </w:tc>
        <w:tc>
          <w:tcPr>
            <w:tcW w:type="dxa" w:w="67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Descripción</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Estabilidad Pasquill</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Clases A (muy inestable) a F (muy estable), automática según viento, día/noche e insolación, o manual.</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Rugosidad</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Coeficientes de Briggs rural o urbano.</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Modelo de gas denso</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Corrección de Britter-McQuaid (la física que usa ALOHA): para densidad de vapor &gt; 1 alarga el alcance a baja cota y ensancha la huella respecto al gaussiano pasivo.</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Salida</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 estimada (kg/h) y distancias AEGL-1/2/3.</w:t>
            </w:r>
          </w:p>
        </w:tc>
      </w:tr>
    </w:tbl>
    <w:p>
      <w:pPr>
        <w:spacing w:after="80"/>
      </w:pPr>
      <w:r>
        <w:t xml:space="preserve"/>
      </w:r>
    </w:p>
    <w:p>
      <w:pPr>
        <w:pStyle w:val="Heading2"/>
      </w:pPr>
      <w:r>
        <w:t xml:space="preserve">6.3 Modelo de gas denso (aproximación tipo ALOHA)</w:t>
      </w:r>
    </w:p>
    <w:p>
      <w:pPr>
        <w:spacing w:after="120"/>
      </w:pPr>
      <w:r>
        <w:t xml:space="preserve">Para gases más pesados que el aire (cloro, dióxido de azufre, fosgeno, hidrocarburos pesados), la app aplica la correlación de Britter-McQuaid, basada en el número de Richardson de la fuente. Es la misma física que emplea ALOHA para gas pesado: la nube se mantiene a ras de suelo, se diluye más despacio y produce zonas más largas y más anchas que un gaussiano pasivo. Se presenta como una corrección acotada y trazable sobre el gaussiano, no como un modelo independiente certificado.</w:t>
      </w:r>
    </w:p>
    <w:p>
      <w:pPr>
        <w:pStyle w:val="Heading2"/>
      </w:pPr>
      <w:r>
        <w:t xml:space="preserve">6.4 Modelo dinámico de puffs con topografía</w:t>
      </w:r>
    </w:p>
    <w:p>
      <w:pPr>
        <w:spacing w:after="120"/>
      </w:pPr>
      <w:r>
        <w:t xml:space="preserve">La fuente emite paquetes de gas a intervalos; cada puff se advecta con el viento y crece según la dispersión Pasquill, paso a paso. El resultado es un reproductor temporal (+5/10/15/20/30 min) que muestra la evolución de la nube, el frente de llegada y el efecto de un rol de viento.</w:t>
      </w:r>
    </w:p>
    <w:p>
      <w:pPr>
        <w:spacing w:after="120"/>
      </w:pPr>
      <w:r>
        <w:t xml:space="preserve">La topografía se descarga como modelo de elevación (DEM) real y se superpone al mapa. Para gases densos, los puffs se desvían hacia las cotas bajas (canalización por gravedad).</w:t>
      </w:r>
    </w:p>
    <w:p>
      <w:pPr>
        <w:pStyle w:val="Heading2"/>
      </w:pPr>
      <w:r>
        <w:t xml:space="preserve">6.5 Vista de planta y perfil de la pluma</w:t>
      </w:r>
    </w:p>
    <w:p>
      <w:pPr>
        <w:spacing w:after="120"/>
      </w:pPr>
      <w:r>
        <w:t xml:space="preserve">Junto al mapa, un cuadro partido muestra la pluma en planta (cenital) y en perfil (alzado), sincronizados con el reproductor temporal. El perfil representa la envolvente vertical de la nube con física diferenciada según su densidad efectiva:</w:t>
      </w:r>
    </w:p>
    <w:p>
      <w:pPr>
        <w:pStyle w:val="ListParagraph"/>
        <w:numPr>
          <w:ilvl w:val="0"/>
          <w:numId w:val="2"/>
        </w:numPr>
        <w:spacing w:after="60"/>
      </w:pPr>
      <w:r>
        <w:t xml:space="preserve">Gases densos (vapor más pesado que el aire): la nube se mantiene a ras de suelo, con dispersión vertical suprimida (no asciende) y ensanchamiento lateral por gravedad (slumping). Es el comportamiento de líquido-gas pesado que sigue el terreno.</w:t>
      </w:r>
    </w:p>
    <w:p>
      <w:pPr>
        <w:pStyle w:val="ListParagraph"/>
        <w:numPr>
          <w:ilvl w:val="0"/>
          <w:numId w:val="2"/>
        </w:numPr>
        <w:spacing w:after="60"/>
      </w:pPr>
      <w:r>
        <w:t xml:space="preserve">Gases neutros: dispersión vertical pasiva normal (≈ 2·σz).</w:t>
      </w:r>
    </w:p>
    <w:p>
      <w:pPr>
        <w:pStyle w:val="ListParagraph"/>
        <w:numPr>
          <w:ilvl w:val="0"/>
          <w:numId w:val="2"/>
        </w:numPr>
        <w:spacing w:after="60"/>
      </w:pPr>
      <w:r>
        <w:t xml:space="preserve">Gases ligeros: la nube se eleva y despega del suelo.</w:t>
      </w:r>
    </w:p>
    <w:p>
      <w:pPr>
        <w:spacing w:after="120"/>
      </w:pPr>
      <w:r>
        <w:t xml:space="preserve">La densidad efectiva incorpora la temperatura y la humedad: un gas frío es más denso y un aire húmedo realza el contraste de densidad, de modo que un mismo gas pesado se achata y ensancha más en condiciones frías y húmedas. Tanto en planta como en perfil se sombrean las zonas con el código de colores de la EPA: roja (caliente), naranja (templada) y amarilla (fría), con sus líneas de límite a las distancias calculadas.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Corrección de comportamiento</w:t>
            </w:r>
          </w:p>
          <w:p>
            <w:r>
              <w:t xml:space="preserve">Las versiones anteriores podían representar la nube de un gas denso ascendiendo, lo que es físicamente incorrecto. El perfil actual ancla los gases densos al suelo y reserva la elevación para los gases ligeros.</w:t>
            </w:r>
          </w:p>
        </w:tc>
      </w:tr>
    </w:tbl>
    <w:p>
      <w:pPr>
        <w:pStyle w:val="Heading2"/>
      </w:pPr>
      <w:r>
        <w:t xml:space="preserve">6.6 Fase de jet en fugas a presión</w:t>
      </w:r>
    </w:p>
    <w:p>
      <w:pPr>
        <w:spacing w:after="120"/>
      </w:pPr>
      <w:r>
        <w:t xml:space="preserve">Cuando la fuga procede de un contenedor a presión (cisterna presurizada, cilindro, gas licuado), el perfil de la pluma reproduce las tres fases físicas de un chorro:</w:t>
      </w:r>
    </w:p>
    <w:p>
      <w:pPr>
        <w:pStyle w:val="ListParagraph"/>
        <w:numPr>
          <w:ilvl w:val="0"/>
          <w:numId w:val="3"/>
        </w:numPr>
        <w:spacing w:after="60"/>
      </w:pPr>
      <w:r>
        <w:t xml:space="preserve">Fase de jet: cerca del foco, el momento de salida impulsa el gas hacia arriba. La altura sube hasta un máximo cuya cota y distancia crecen con la presión de transporte.</w:t>
      </w:r>
    </w:p>
    <w:p>
      <w:pPr>
        <w:pStyle w:val="ListParagraph"/>
        <w:numPr>
          <w:ilvl w:val="0"/>
          <w:numId w:val="3"/>
        </w:numPr>
        <w:spacing w:after="60"/>
      </w:pPr>
      <w:r>
        <w:t xml:space="preserve">Transición: el chorro pierde momento, arrastra aire y la altura decae con la distancia.</w:t>
      </w:r>
    </w:p>
    <w:p>
      <w:pPr>
        <w:pStyle w:val="ListParagraph"/>
        <w:numPr>
          <w:ilvl w:val="0"/>
          <w:numId w:val="3"/>
        </w:numPr>
        <w:spacing w:after="60"/>
      </w:pPr>
      <w:r>
        <w:t xml:space="preserve">Dispersión pasiva: ya sin momento, gobierna la densidad efectiva. Un gas denso vuelve a caer al suelo; un gas ligero o calentado vuelve a ascender por flotabilidad; un gas neutro se dispersa según Pasquill.</w:t>
      </w:r>
    </w:p>
    <w:p>
      <w:pPr>
        <w:spacing w:after="120"/>
      </w:pPr>
      <w:r>
        <w:t xml:space="preserve">La presión de transporte se infiere del contenedor seleccionado y de las propiedades de la sustancia, y determina tanto la velocidad de salida (ecuación de descarga) como la altura y el alcance del chorro. El diagrama señala la fase de jet cuando está activa.</w:t>
      </w:r>
    </w:p>
    <w:p>
      <w:pPr>
        <w:pStyle w:val="Heading2"/>
      </w:pPr>
      <w:r>
        <w:t xml:space="preserve">6.7 Influencia del terreno en la planta y el perfil</w:t>
      </w:r>
    </w:p>
    <w:p>
      <w:pPr>
        <w:spacing w:after="120"/>
      </w:pPr>
      <w:r>
        <w:t xml:space="preserve">Cuando se ha cargado la topografía (modelo digital de elevaciones), un gas denso que se comporta como líquido fluye siguiendo el relieve, y ello se refleja en las dos vistas de la pluma. En el perfil, el suelo deja de ser una línea plana y dibuja el relieve real bajo la trayectoria: la nube se asienta sobre esa cota variable, baja con el terreno en las vallonadas y depresiones (donde el gas se hunde y acumula) y sube al remontar elevaciones. En la planta, la anchura se modula con el relieve: el gas denso se ensancha en las depresiones (se estanca) y se estrecha al cruzar elevaciones. La cuadrícula de elevación se dimensiona automáticamente al alcance previsto de la pluma en treinta minutos según el viento, para cubrir toda la zona de dispersión.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Resolución del terreno</w:t>
            </w:r>
          </w:p>
          <w:p>
            <w:r>
              <w:t xml:space="preserve">El modelo de elevación tiene una resolución de cientos de metros; capta valles y montes, no accidentes finos. La forma del comportamiento (el gas baja, se estanca, se ensancha en los bajos) es correcta, pero las cotas y anchuras exactas son orientativas.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Alcance honesto del modelo</w:t>
            </w:r>
          </w:p>
          <w:p>
            <w:pPr>
              <w:spacing w:after="60"/>
            </w:pPr>
            <w:r>
              <w:t xml:space="preserve">El modelo de puffs es un modelo lagrangiano real para advección, dispersión y rol de viento, muy superior a la cuña estática. La corrección de gas denso reproduce la física de Britter-McQuaid que usa ALOHA.</w:t>
            </w:r>
          </w:p>
          <w:p>
            <w:r>
              <w:rPr>
                <w:i/>
                <w:iCs/>
              </w:rPr>
              <w:t xml:space="preserve">Ni la corrección de gas denso ni la canalización topográfica equivalen a ALOHA, DEGADIS, SLAB ni a un CFD. Son aproximaciones para anticipar tendencias (hacia dónde tirará o girará la nube, cuánto más lejos llega un gas pesado), no predicción métrica exacta. Para la valoración oficial, use ALOHA e importe su huella.</w:t>
            </w:r>
          </w:p>
        </w:tc>
      </w:tr>
    </w:tbl>
    <w:p>
      <w:r>
        <w:br w:type="page"/>
      </w:r>
    </w:p>
    <w:p>
      <w:pPr>
        <w:pStyle w:val="Heading1"/>
      </w:pPr>
      <w:r>
        <w:t xml:space="preserve">7. Interoperabilidad con ALOHA y meteorología</w:t>
      </w:r>
    </w:p>
    <w:p>
      <w:pPr>
        <w:pStyle w:val="Heading2"/>
      </w:pPr>
      <w:r>
        <w:t xml:space="preserve">7.1 Importar la huella de ALOHA (KML)</w:t>
      </w:r>
    </w:p>
    <w:p>
      <w:pPr>
        <w:spacing w:after="120"/>
      </w:pPr>
      <w:r>
        <w:t xml:space="preserve">ALOHA es un programa de escritorio de la NOAA/EPA; no tiene servicio web, por lo que no puede llamarse en vivo. La app permite, en su lugar, importar la zona de amenaza que ALOHA exporta como KML (vía MARPLOT o Google Earth). Las zonas se dibujan sobre el mapa con los colores de ALOHA (rojo, naranja, amarillo por nivel), junto a las zonas propias. Si el KML viene con coordenadas relativas al origen, se reubica en el punto del incidente. Así se usa el ALOHA real en el PC para la valoración oficial y se trae el resultado a la herramienta de campo.</w:t>
      </w:r>
    </w:p>
    <w:p>
      <w:pPr>
        <w:pStyle w:val="Heading2"/>
      </w:pPr>
      <w:r>
        <w:t xml:space="preserve">7.2 Meteorología automática y evolución prevista</w:t>
      </w:r>
    </w:p>
    <w:p>
      <w:pPr>
        <w:spacing w:after="120"/>
      </w:pPr>
      <w:r>
        <w:t xml:space="preserve">Con un toque, la aplicación obtiene la posición GPS y descarga de Open-Meteo el viento, temperatura, humedad, presión y visibilidad de esa coordenada, rellenando los campos y trazando la pluma automáticamente.</w:t>
      </w:r>
    </w:p>
    <w:p>
      <w:pPr>
        <w:spacing w:after="120"/>
      </w:pPr>
      <w:r>
        <w:t xml:space="preserve">Además descarga el pronóstico horario y proyecta hacia dónde apuntará la pluma a +15 y +30 minutos. Si prevé un rol de viento de 30° por hora o más, emite el aviso «ROL DE VIENTO PREVISTO» indicando el nuevo sector a sotavento, para permitir la evacuación preventiva antes de que llegue el 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Vigencia</w:t>
            </w:r>
          </w:p>
          <w:p>
            <w:r>
              <w:t xml:space="preserve">Los umbrales AEGL son a 60 minutos y el viento puede rolar. Reobtenga la meteorología periódicamente y vigile el temporizador de reevaluación.</w:t>
            </w:r>
          </w:p>
        </w:tc>
      </w:tr>
    </w:tbl>
    <w:p>
      <w:r>
        <w:br w:type="page"/>
      </w:r>
    </w:p>
    <w:p>
      <w:pPr>
        <w:pStyle w:val="Heading1"/>
      </w:pPr>
      <w:r>
        <w:t xml:space="preserve">8. Utilidades operativas</w:t>
      </w:r>
    </w:p>
    <w:p>
      <w:pPr>
        <w:pStyle w:val="Heading2"/>
      </w:pPr>
      <w:r>
        <w:t xml:space="preserve">8.1 Estimación del tamaño del derrame y de la concentración</w:t>
      </w:r>
    </w:p>
    <w:p>
      <w:pPr>
        <w:spacing w:after="120"/>
      </w:pPr>
      <w:r>
        <w:t xml:space="preserve">El escenario ERG ofrece cinco tamaños predefinidos (goteo, pequeña, media, grande y catastrófica) más una opción de estimación a partir del diámetro del orificio y el tiempo de fuga. Esta estimación es además la vía para obtener una concentración orientativa cuando ningún sensor puede medir la sustancia (caso «imposible detectar»).</w:t>
      </w:r>
    </w:p>
    <w:p>
      <w:pPr>
        <w:spacing w:after="120"/>
      </w:pPr>
      <w:r>
        <w:t xml:space="preserve">La cadena de cálculo es: orificio y presión → caudal → emisión másica → dispersión gaussiana inversa → concentración (ppm). En detalle:</w:t>
      </w:r>
    </w:p>
    <w:p>
      <w:pPr>
        <w:pStyle w:val="ListParagraph"/>
        <w:numPr>
          <w:ilvl w:val="0"/>
          <w:numId w:val="3"/>
        </w:numPr>
        <w:spacing w:after="60"/>
      </w:pPr>
      <w:r>
        <w:t xml:space="preserve">Caudal por el orificio: con presión, mediante la ecuación de descarga de Bernoulli v=√(2·ΔP/ρ) usando la presión de transporte real; sin presión, por Torricelli con columna hidrostática.</w:t>
      </w:r>
    </w:p>
    <w:p>
      <w:pPr>
        <w:pStyle w:val="ListParagraph"/>
        <w:numPr>
          <w:ilvl w:val="0"/>
          <w:numId w:val="3"/>
        </w:numPr>
        <w:spacing w:after="60"/>
      </w:pPr>
      <w:r>
        <w:t xml:space="preserve">Evaporación del charco: basada en la presión de vapor real de la sustancia a la temperatura indicada (se duplica aproximadamente cada doce grados, según Clausius-Clapeyron linealizado). Así una gasolina evapora mucho y un gasóleo o un ácido sulfúrico apenas, como en la realidad.</w:t>
      </w:r>
    </w:p>
    <w:p>
      <w:pPr>
        <w:pStyle w:val="ListParagraph"/>
        <w:numPr>
          <w:ilvl w:val="0"/>
          <w:numId w:val="3"/>
        </w:numPr>
        <w:spacing w:after="60"/>
      </w:pPr>
      <w:r>
        <w:t xml:space="preserve">Fracción en volumen y dilución: en saturación, la fracción de vapor sobre el charco es la presión de vapor dividida por la atmosférica (ley de Dalton), lo que da el porcentaje en volumen y su tope físico. El vapor evaporado se diluye en el caudal de aire que barre el charco (viento por anchura por altura de mezcla).</w:t>
      </w:r>
    </w:p>
    <w:p>
      <w:pPr>
        <w:pStyle w:val="ListParagraph"/>
        <w:numPr>
          <w:ilvl w:val="0"/>
          <w:numId w:val="3"/>
        </w:numPr>
        <w:spacing w:after="60"/>
      </w:pPr>
      <w:r>
        <w:t xml:space="preserve">Concentración en ppm: de la concentración resultante en ese aire, limitada por la saturación para que nunca dé un valor imposible. Para una fuga a presión, en cambio, se emplea la dispersión del jet; la aplicación toma el mecanismo dominante.</w:t>
      </w:r>
    </w:p>
    <w:p>
      <w:pPr>
        <w:spacing w:after="120"/>
      </w:pPr>
      <w:r>
        <w:t xml:space="preserve">La salida muestra el mecanismo dominante (evaporación de charco o fuga a presión), la presión de vapor a la temperatura real, la fracción en volumen de saturación, la evaporación en gramos por segundo, el caudal de aire de dilución y el resultado en ppm y en porcentaje en volumen.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Anclado en la volatilidad</w:t>
            </w:r>
          </w:p>
          <w:p>
            <w:r>
              <w:t xml:space="preserve">La concentración se obtiene de la volatilidad de la sustancia y su dilución en el aire, no de un caudal másico abstracto: por eso un ácido sulfúrico (que apenas humea) da una concentración de vapor casi nula y una gasolina da cientos o miles de ppm que crecen con la temperatura. Es una estimación de gabinete; ante la duda, aplique el método más restrictivo y confirme en campo.</w:t>
            </w:r>
          </w:p>
        </w:tc>
      </w:tr>
    </w:tbl>
    <w:p>
      <w:pPr>
        <w:pStyle w:val="Heading2"/>
      </w:pPr>
      <w:r>
        <w:t xml:space="preserve">8.2 Reanálisis en un toque (cuatro vías)</w:t>
      </w:r>
    </w:p>
    <w:p>
      <w:pPr>
        <w:spacing w:after="120"/>
      </w:pPr>
      <w:r>
        <w:t xml:space="preserve">Un botón flotante de reanálisis, presente en el menú de operación y en la pantalla de análisis, permite recalcular la situación sin rehacer toda la intervención, por cuatro vías: por nueva lectura de sensor (se introduce la concentración actual), por charco (se varía el diámetro del charco, la temperatura y la distancia del detector), por fuga (se varía el orificio y el tiempo) y por forzado de la meteorología (se sustituyen viento, dirección, temperatura y humedad). Cualquiera de ellas recalcula el nivel de riesgo, las zonas, el dictamen y la orden, y deja constancia en el registro. Es la herramienta para mantener la imagen actualizada conforme evoluciona la intervención.</w:t>
      </w:r>
    </w:p>
    <w:p>
      <w:pPr>
        <w:pStyle w:val="Heading2"/>
      </w:pPr>
      <w:r>
        <w:t xml:space="preserve">8.3 Temporizador de reevaluación AEGL</w:t>
      </w:r>
    </w:p>
    <w:p>
      <w:pPr>
        <w:spacing w:after="120"/>
      </w:pPr>
      <w:r>
        <w:t xml:space="preserve">Cuenta atrás de 60 minutos que arranca con el análisis; avisa en los últimos cinco minutos de que la atmósfera debe reevaluarse, ya que los umbrales AEGL son a 60 minutos.</w:t>
      </w:r>
    </w:p>
    <w:p>
      <w:pPr>
        <w:pStyle w:val="Heading2"/>
      </w:pPr>
      <w:r>
        <w:t xml:space="preserve">8.4 Registro de la intervención</w:t>
      </w:r>
    </w:p>
    <w:p>
      <w:pPr>
        <w:spacing w:after="120"/>
      </w:pPr>
      <w:r>
        <w:t xml:space="preserve">Cada análisis se registra automáticamente con hora, gas, concentración, nivel, viento y coordenadas. Exportable como texto o impresión/PDF.</w:t>
      </w:r>
    </w:p>
    <w:p>
      <w:pPr>
        <w:pStyle w:val="Heading2"/>
      </w:pPr>
      <w:r>
        <w:t xml:space="preserve">8.5 Compartir y enlace COP</w:t>
      </w:r>
    </w:p>
    <w:p>
      <w:pPr>
        <w:spacing w:after="120"/>
      </w:pPr>
      <w:r>
        <w:t xml:space="preserve">El dictamen puede compartirse como texto (copia, WhatsApp, SMS) o como enlace COP (Common Operating Picture): un enlace autocontenido —sin servidor— que codifica el estado operativo en la propia URL. Quien lo abre ve una imagen operativa de solo lectura con el nivel, las zonas, el viento y la posición, liberando la frecuencia de radio.</w:t>
      </w:r>
    </w:p>
    <w:p>
      <w:pPr>
        <w:pStyle w:val="Heading2"/>
      </w:pPr>
      <w:r>
        <w:t xml:space="preserve">8.6 Refresco automático y evolución sobre el mapa</w:t>
      </w:r>
    </w:p>
    <w:p>
      <w:pPr>
        <w:spacing w:after="120"/>
      </w:pPr>
      <w:r>
        <w:t xml:space="preserve">La meteorología puede refrescarse automáticamente cada quince minutos: cada ciclo actualiza el viento, redibuja la pluma, recentra el mapa y deja constancia en el registro. Durante la simulación dinámica, la nube deja sobre la cartografía el rastro de su evolución (los pasos anteriores en trazo tenue y el actual resaltado), y el mapa hace autozoom para encuadrar la pluma a medida que crece.</w:t>
      </w:r>
    </w:p>
    <w:p>
      <w:pPr>
        <w:pStyle w:val="Heading2"/>
      </w:pPr>
      <w:r>
        <w:t xml:space="preserve">8.7 Persistencia, modo guante y brújula</w:t>
      </w:r>
    </w:p>
    <w:p>
      <w:pPr>
        <w:pStyle w:val="ListParagraph"/>
        <w:numPr>
          <w:ilvl w:val="0"/>
          <w:numId w:val="2"/>
        </w:numPr>
        <w:spacing w:after="60"/>
      </w:pPr>
      <w:r>
        <w:t xml:space="preserve">El estado se guarda automáticamente; si el navegador se recarga, ofrece restaurar la sesión.</w:t>
      </w:r>
    </w:p>
    <w:p>
      <w:pPr>
        <w:pStyle w:val="ListParagraph"/>
        <w:numPr>
          <w:ilvl w:val="0"/>
          <w:numId w:val="2"/>
        </w:numPr>
        <w:spacing w:after="60"/>
      </w:pPr>
      <w:r>
        <w:t xml:space="preserve">El modo guante amplía controles y texto para uso con guantes de intervención bajo estrés.</w:t>
      </w:r>
    </w:p>
    <w:p>
      <w:pPr>
        <w:pStyle w:val="ListParagraph"/>
        <w:numPr>
          <w:ilvl w:val="0"/>
          <w:numId w:val="2"/>
        </w:numPr>
        <w:spacing w:after="60"/>
      </w:pPr>
      <w:r>
        <w:t xml:space="preserve">La brújula del dispositivo orienta el mapa según hacia dónde apunta el equipo.</w:t>
      </w:r>
    </w:p>
    <w:p>
      <w:r>
        <w:br w:type="page"/>
      </w:r>
    </w:p>
    <w:p>
      <w:pPr>
        <w:pStyle w:val="Heading1"/>
      </w:pPr>
      <w:r>
        <w:t xml:space="preserve">9. Orden inicial GOM e interfaz táctil</w:t>
      </w:r>
    </w:p>
    <w:p>
      <w:pPr>
        <w:pStyle w:val="Heading2"/>
      </w:pPr>
      <w:r>
        <w:t xml:space="preserve">9.1 Pantalla de Orden Inicial (GOM)</w:t>
      </w:r>
    </w:p>
    <w:p>
      <w:pPr>
        <w:spacing w:after="120"/>
      </w:pPr>
      <w:r>
        <w:t xml:space="preserve">Tras el análisis, la Orden Inicial dispone de pantalla propia que trae el dictamen táctico para determinar las acciones. La aplicación compone automáticamente el esqueleto de la orden de mando, listo para dictar o enviar, con la estructura clásica: situación, misión, ejecución (sectorización), seguridad y comunicaciones. Los apartados de situación y seguridad se rellenan solos a partir del análisis (producto, nivel, comportamiento del gas, viento, zonas, EPI recomendado y aviso de rol de viento). El mando solo selecciona la misión y los sectores funcionales mediante botones, añade opcionalmente los recursos, y obtiene una orden completa para copiar, enviar por mensajería o acompañar del enlace COP.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Qué automatiza y qué no</w:t>
            </w:r>
          </w:p>
          <w:p>
            <w:r>
              <w:t xml:space="preserve">La pantalla GOM acelera la composición y el envío de la orden, no la decisión táctica. La elección de misión y sectorización exige el criterio del mando; la herramienta solo estructura y transmite.</w:t>
            </w:r>
          </w:p>
        </w:tc>
      </w:tr>
    </w:tbl>
    <w:p>
      <w:pPr>
        <w:pStyle w:val="Heading2"/>
      </w:pPr>
      <w:r>
        <w:t xml:space="preserve">9.2 Pantallas separadas y semáforo de resultado</w:t>
      </w:r>
    </w:p>
    <w:p>
      <w:pPr>
        <w:spacing w:after="120"/>
      </w:pPr>
      <w:r>
        <w:t xml:space="preserve">La interfaz se organiza en pantallas independientes en lugar de una página con desplazamiento. Tras el análisis aparece un semáforo de resultado (nivel y color) que, al tocarlo, abre la pantalla de Análisis con el dictamen, los accesos rápidos a Zonificación, Orden y Mapa, y la corroboración con el sector solo si se seleccionó. La Zonificación táctica y el Mapa georreferenciado tienen también pantalla propia.</w:t>
      </w:r>
    </w:p>
    <w:p>
      <w:pPr>
        <w:pStyle w:val="Heading2"/>
      </w:pPr>
      <w:r>
        <w:t xml:space="preserve">9.3 Interfaz orientada a uso en campo</w:t>
      </w:r>
    </w:p>
    <w:p>
      <w:pPr>
        <w:pStyle w:val="ListParagraph"/>
        <w:numPr>
          <w:ilvl w:val="0"/>
          <w:numId w:val="2"/>
        </w:numPr>
        <w:spacing w:after="60"/>
      </w:pPr>
      <w:r>
        <w:t xml:space="preserve">Barra de navegación inferior fija (Inicio · Análisis · Zonas · Mapa · Orden) en la zona alcanzable con el pulgar.</w:t>
      </w:r>
    </w:p>
    <w:p>
      <w:pPr>
        <w:pStyle w:val="ListParagraph"/>
        <w:numPr>
          <w:ilvl w:val="0"/>
          <w:numId w:val="2"/>
        </w:numPr>
        <w:spacing w:after="60"/>
      </w:pPr>
      <w:r>
        <w:t xml:space="preserve">Teclado numérico ONU a pantalla completa con teclas grandes para uso con guantes, que confirma la sustancia en tiempo real.</w:t>
      </w:r>
    </w:p>
    <w:p>
      <w:pPr>
        <w:pStyle w:val="ListParagraph"/>
        <w:numPr>
          <w:ilvl w:val="0"/>
          <w:numId w:val="2"/>
        </w:numPr>
        <w:spacing w:after="60"/>
      </w:pPr>
      <w:r>
        <w:t xml:space="preserve">Asistente guiado «Nueva intervención» en cuatro pasos de un solo foco: sustancia, meteorología, riesgo y reacciones, y equipos y lecturas.</w:t>
      </w:r>
    </w:p>
    <w:p>
      <w:pPr>
        <w:pStyle w:val="ListParagraph"/>
        <w:numPr>
          <w:ilvl w:val="0"/>
          <w:numId w:val="2"/>
        </w:numPr>
        <w:spacing w:after="60"/>
      </w:pPr>
      <w:r>
        <w:t xml:space="preserve">Botón Analizar flotante que aparece cuando hay lecturas sin procesar, y reanálisis en un toque para el ciclo de reevaluación (conserva todo y solo pide la nueva concentración).</w:t>
      </w:r>
    </w:p>
    <w:p>
      <w:pPr>
        <w:pStyle w:val="ListParagraph"/>
        <w:numPr>
          <w:ilvl w:val="0"/>
          <w:numId w:val="2"/>
        </w:numPr>
        <w:spacing w:after="60"/>
      </w:pPr>
      <w:r>
        <w:t xml:space="preserve">Modo sol / alto contraste para pantallas bajo luz solar directa.</w:t>
      </w:r>
    </w:p>
    <w:p>
      <w:r>
        <w:br w:type="page"/>
      </w:r>
    </w:p>
    <w:p>
      <w:pPr>
        <w:pStyle w:val="Heading1"/>
      </w:pPr>
      <w:r>
        <w:t xml:space="preserve">10. Niveles de riesgo</w:t>
      </w:r>
    </w:p>
    <w:p>
      <w:pPr>
        <w:spacing w:after="120"/>
      </w:pPr>
      <w:r>
        <w:t xml:space="preserve">El nivel global se asigna por máxima restricción. El disparador depende del tipo de riesgo: umbrales EPA AEGL (en ppm) para los tóxicos, y porcentaje del límite inferior de explosividad (% LEL) para los inflamables medidos por el 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00"/>
        <w:gridCol w:w="1460"/>
      </w:tblGrid>
      <w:tr>
        <w:trPr>
          <w:tblHeader/>
        </w:trPr>
        <w:tc>
          <w:tcPr>
            <w:tcW w:type="dxa" w:w="1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2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tóxico</w:t>
            </w:r>
          </w:p>
        </w:tc>
        <w:tc>
          <w:tcPr>
            <w:tcW w:type="dxa" w:w="3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inflamable (MPS)</w:t>
            </w:r>
          </w:p>
        </w:tc>
        <w:tc>
          <w:tcPr>
            <w:tcW w:type="dxa" w:w="1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Color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AEGL-1</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Verde</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AEGL-1</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 (A1)</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Ámbar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AEGL-2 / AEGL-3</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 (A2)</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Rojo</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Crítico / sin confirmar</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 (deflagración)</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Rojo</w:t>
            </w:r>
          </w:p>
        </w:tc>
      </w:tr>
    </w:tbl>
    <w:p>
      <w:pPr>
        <w:spacing w:after="120"/>
      </w:pPr>
      <w:r>
        <w:t xml:space="preserve"/>
      </w:r>
    </w:p>
    <w:p>
      <w:pPr>
        <w:spacing w:after="120"/>
      </w:pPr>
      <w:r>
        <w:t xml:space="preserve">La lectura táctica por nivel: NI vigilancia; NII protección y zonificación; NIII exclusión y EPI máximo; NIII+ máxima restricción. El valor que dispara el nivel se muestra siempre con su unidad correcta (ppm para tóxicos, % LEL para inflamables).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Coherencia con el sector</w:t>
            </w:r>
          </w:p>
          <w:p>
            <w:r>
              <w:t xml:space="preserve">🟢 Coherente: gas esperable.  🟡 Parcial: encaje ocasional.  🔴 Incoherencia: gas atípico para el sector — reconsiderar el escenario.</w:t>
            </w:r>
          </w:p>
        </w:tc>
      </w:tr>
    </w:tbl>
    <w:p>
      <w:r>
        <w:br w:type="page"/>
      </w:r>
    </w:p>
    <w:p>
      <w:pPr>
        <w:pStyle w:val="Heading1"/>
      </w:pPr>
      <w:r>
        <w:t xml:space="preserve">11. Base de datos de sustancias</w:t>
      </w:r>
    </w:p>
    <w:p>
      <w:pPr>
        <w:spacing w:after="120"/>
      </w:pPr>
      <w:r>
        <w:t xml:space="preserve">La aplicación incluye más de cincuenta sustancias, organizadas en tres grupos.</w:t>
      </w:r>
    </w:p>
    <w:p>
      <w:pPr>
        <w:pStyle w:val="Heading2"/>
      </w:pPr>
      <w:r>
        <w:t xml:space="preserve">11.1 Tóxicos industriales (TIH)</w:t>
      </w:r>
    </w:p>
    <w:p>
      <w:pPr>
        <w:spacing w:after="120"/>
      </w:pPr>
      <w:r>
        <w:t xml:space="preserve">Gases con umbrales AEGL de la EPA: cloro, amoníaco, sulfuro de hidrógeno, cianuro de hidrógeno, dióxido de azufre, fluoruro de hidrógeno, monóxido de carbono, cloruro de hidrógeno, dióxido de nitrógeno, ozono, formaldehído, fosgeno, peróxido de hidrógeno y mercaptanos. Para cada uno, las distancias de las zonas se anclan en la Tabla 1 del ERG 2024.</w:t>
      </w:r>
    </w:p>
    <w:p>
      <w:pPr>
        <w:pStyle w:val="Heading2"/>
      </w:pPr>
      <w:r>
        <w:t xml:space="preserve">11.2 Inflamables detectados por el sensor MPS</w:t>
      </w:r>
    </w:p>
    <w:p>
      <w:pPr>
        <w:spacing w:after="120"/>
      </w:pPr>
      <w:r>
        <w:t xml:space="preserve">Veintidós gases y vapores inflamables medidos por el sensor MPS de NevadaNano, expresados en porcentaje del límite inferior de explosividad (% LEL). El sensor mide explosividad, no toxicidad. Se distingue entre los que tienen precisión TrueLEL garantizada (metano, etano, propileno, isobutano, isobutileno, pentano, heptano, octano, tolueno, xileno, estireno, etileno, acetona, isopropanol, MEK) y los que detecta sin esa precisión y por tanto son orientativos (gasolina, gasóleo, etanol, metanol, hexano, ciclohexano, acetileno). En cada ficha se indica el sesgo conocido del sensor: por ejemplo, subestima el etileno y el estireno, y sobreestima la acetona y el isopropanol.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Vapores de gasolina y el MPS</w:t>
            </w:r>
          </w:p>
          <w:p>
            <w:r>
              <w:t xml:space="preserve">La gasolina es una mezcla compleja (C4–C12), por lo que el MPS la detecta sin precisión TrueLEL: la lectura de % LEL es orientativa y puede sobre o subestimar. Mide riesgo de explosión, no toxicidad. Aplique siempre margen de seguridad y confirme.</w:t>
            </w:r>
          </w:p>
        </w:tc>
      </w:tr>
    </w:tbl>
    <w:p>
      <w:pPr>
        <w:pStyle w:val="Heading2"/>
      </w:pPr>
      <w:r>
        <w:t xml:space="preserve">11.3 Quince mercancías peligrosas más frecuentes por carretera</w:t>
      </w:r>
    </w:p>
    <w:p>
      <w:pPr>
        <w:spacing w:after="120"/>
      </w:pPr>
      <w:r>
        <w:t xml:space="preserve">Con número ONU verificado (ADR / Libro Naranja), propiedades fisicoquímicas y condiciones de transporte (presión), dato clave para anticipar el comportamiento del derrame: un gas licuado a presión produce una liberación súbita con gran expansión, mientras que un líquido a presión atmosférica forma un charco con evaporación progresiva.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Mercancía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5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Transporte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GLP (propano/butano)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1965</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Cisterna a presión ~7–8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Gasolina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1203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(muy volátil)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Gasóleo / diésel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1202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(poco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Queroseno / Jet 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1223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Fuelóleo pesado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3082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caliente</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sulfúrico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1830</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(líquido denso)</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Óleum / ác. sulfúrico fumante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(humea SO₃, tóxico inhalación)</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Hidróxido de sodio (sosa)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1824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(disolución)</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nítrico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(genera NOx)</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clorhídrico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1789</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(desprende HCl)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Acetato de etilo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1173</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Metacrilato de metilo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1247</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(polimerizable)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Nitrógeno líquido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1977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Criogénica ≤10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Oxígeno líquido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1073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Criogénica (comburente)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CO₂ licuado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2187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Refrigerada ~20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Benceno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1114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(cancerígeno)</w:t>
            </w:r>
          </w:p>
        </w:tc>
      </w:tr>
    </w:tbl>
    <w:p>
      <w:pPr>
        <w:spacing w:after="80"/>
      </w:pPr>
      <w:r>
        <w:t xml:space="preserve"/>
      </w:r>
    </w:p>
    <w:p>
      <w:pPr>
        <w:spacing w:after="120"/>
      </w:pPr>
      <w:r>
        <w:t xml:space="preserve">Otras incorporadas: anilina (ONU 1547) y etilenglicol. Al introducir el número ONU, la app carga las propiedades, activa el sensor adecuado y muestra las condiciones de transporte.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Ácido sulfúrico frente a óleum</w:t>
            </w:r>
          </w:p>
          <w:p>
            <w:r>
              <w:t xml:space="preserve">El ONU 1830 (ácido sulfúrico) y el 1831 (óleum o ácido sulfúrico fumante) no son lo mismo. El primero es un líquido corrosivo que apenas genera vapor: el peligro es el contacto. El óleum, en cambio, desprende humos blancos de trióxido de azufre tóxicos por inhalación, que forman niebla ácida; además del corrosivo líquido, hay que considerar la nube. La aplicación los trata como sustancias distintas con esa diferencia de volatilidad.</w:t>
            </w:r>
          </w:p>
        </w:tc>
      </w:tr>
    </w:tbl>
    <w:p>
      <w:pPr>
        <w:pStyle w:val="Heading2"/>
      </w:pPr>
      <w:r>
        <w:t xml:space="preserve">11.1 Sector de transporte por carretera y ferrocarril</w:t>
      </w:r>
    </w:p>
    <w:p>
      <w:pPr>
        <w:spacing w:after="120"/>
      </w:pPr>
      <w:r>
        <w:t xml:space="preserve">Entre los sectores de actividad se incluye el transporte de mercancías peligrosas por carretera (ADR) y ferrocarril (RID). A diferencia de un sector de proceso, donde la firma de gases esperable es nítida, en un accidente de transporte el producto lo determina la carta de porte y el panel naranja, y puede ser cualquiera de las mercancías ADR habituales. Por ello su firma química es deliberadamente difusa, igual que la de un puerto: gana como hipótesis cuando el patrón de gases es mixto o atípico, y cede ante un sector de proceso cuando la firma es clara.</w:t>
      </w:r>
    </w:p>
    <w:p>
      <w:r>
        <w:br w:type="page"/>
      </w:r>
    </w:p>
    <w:p>
      <w:pPr>
        <w:pStyle w:val="Heading1"/>
      </w:pPr>
      <w:r>
        <w:t xml:space="preserve">12. Alcance del modelo de dispersión</w:t>
      </w:r>
    </w:p>
    <w:p>
      <w:pPr>
        <w:spacing w:after="120"/>
      </w:pPr>
      <w:r>
        <w:t xml:space="preserve">Esta sección sitúa con honestidad la herramienta dentro de la jerarquía de modelos de dispersión atmosférica, para que el usuario sepa qué puede esperar de ella y qué no.</w:t>
      </w:r>
    </w:p>
    <w:p>
      <w:pPr>
        <w:pStyle w:val="Heading2"/>
      </w:pPr>
      <w:r>
        <w:t xml:space="preserve">12.1 La jerarquía de modelos</w:t>
      </w:r>
    </w:p>
    <w:p>
      <w:pPr>
        <w:spacing w:after="120"/>
      </w:pPr>
      <w:r>
        <w:t xml:space="preserve">Los modelos de dispersión se agrupan en tres niveles de creciente sofisticación y coste: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460"/>
        <w:gridCol w:w="2400"/>
      </w:tblGrid>
      <w:tr>
        <w:trPr>
          <w:tblHeader/>
        </w:trPr>
        <w:tc>
          <w:tcPr>
            <w:tcW w:type="dxa" w:w="9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3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Tipo</w:t>
            </w:r>
          </w:p>
        </w:tc>
        <w:tc>
          <w:tcPr>
            <w:tcW w:type="dxa" w:w="3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Ejemplos</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Coste de cálculo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Gaussiano / tablas algebraicas</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ALOHA (gaussiano), ERG, SITAC NBQ</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Milisegundos (móvil)</w:t>
            </w:r>
          </w:p>
        </w:tc>
      </w:tr>
      <w:tr>
        <w:tc>
          <w:tcPr>
            <w:tcW w:type="dxa" w:w="9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w:t>
            </w:r>
          </w:p>
        </w:tc>
        <w:tc>
          <w:tcPr>
            <w:tcW w:type="dxa" w:w="3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Integrales de jet/pluma (ODEs validadas)</w:t>
            </w:r>
          </w:p>
        </w:tc>
        <w:tc>
          <w:tcPr>
            <w:tcW w:type="dxa" w:w="3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HGSYSTEM, PHAST/UDM, DEGADIS, SLAB</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Segundos (PC + experto)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CFD (Navier-Stokes en malla 3D)</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FLACS, ANSYS Fluent, OpenFOAM</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Horas-días (clúster)</w:t>
            </w:r>
          </w:p>
        </w:tc>
      </w:tr>
    </w:tbl>
    <w:p>
      <w:pPr>
        <w:spacing w:after="80"/>
      </w:pPr>
      <w:r>
        <w:t xml:space="preserve"/>
      </w:r>
    </w:p>
    <w:p>
      <w:pPr>
        <w:spacing w:after="120"/>
      </w:pPr>
      <w:r>
        <w:t xml:space="preserve">SITAC NBQ se sitúa firmemente en el Nivel 1. Las mejoras físicas que incorpora (jet a presión, slumping de gas denso, efecto de temperatura y humedad, canalización topográfica) son heurísticas con la forma física correcta, no soluciones de las ecuaciones de gobierno.</w:t>
      </w:r>
    </w:p>
    <w:p>
      <w:pPr>
        <w:pStyle w:val="Heading2"/>
      </w:pPr>
      <w:r>
        <w:t xml:space="preserve">12.2 Qué nos separa de un modelo integral validado (Nivel 2)</w:t>
      </w:r>
    </w:p>
    <w:p>
      <w:pPr>
        <w:pStyle w:val="ListParagraph"/>
        <w:numPr>
          <w:ilvl w:val="0"/>
          <w:numId w:val="2"/>
        </w:numPr>
        <w:spacing w:after="60"/>
      </w:pPr>
      <w:r>
        <w:t xml:space="preserve">Conservación: un modelo integral como HGSYSTEM resuelve la conservación de masa, momento y energía a lo largo de la pluma, con arrastre de aire calculado físicamente. La herramienta aproxima esa curva con una función de forma cualitativa correcta, pero que no conserva las magnitudes.</w:t>
      </w:r>
    </w:p>
    <w:p>
      <w:pPr>
        <w:pStyle w:val="ListParagraph"/>
        <w:numPr>
          <w:ilvl w:val="0"/>
          <w:numId w:val="2"/>
        </w:numPr>
        <w:spacing w:after="60"/>
      </w:pPr>
      <w:r>
        <w:t xml:space="preserve">Termodinámica de la fuga: HGSYSTEM modela el flash (vaporización súbita al despresurizar un gas licuado), el rainout (gotas que caen y forman charco) y el aerosol bifásico. La herramienta trata la salida como líquido o gas, sin las dos fases.</w:t>
      </w:r>
    </w:p>
    <w:p>
      <w:pPr>
        <w:pStyle w:val="ListParagraph"/>
        <w:numPr>
          <w:ilvl w:val="0"/>
          <w:numId w:val="2"/>
        </w:numPr>
        <w:spacing w:after="60"/>
      </w:pPr>
      <w:r>
        <w:t xml:space="preserve">Validación: HGSYSTEM, DEGADIS y SLAB están contrastados contra liberaciones reales medidas en campo (Thorney Island, Burro, Desert Tortoise). Sus errores están caracterizados, típicamente en torno a un factor 2 en concentración. Las heurísticas de esta herramienta no están validadas experimentalmente.</w:t>
      </w:r>
    </w:p>
    <w:p>
      <w:pPr>
        <w:pStyle w:val="Heading2"/>
      </w:pPr>
      <w:r>
        <w:t xml:space="preserve">12.3 Qué nos separa de un CFD (Nivel 3)</w:t>
      </w:r>
    </w:p>
    <w:p>
      <w:pPr>
        <w:spacing w:after="120"/>
      </w:pPr>
      <w:r>
        <w:t xml:space="preserve">Además de todo lo anterior, un CFD resuelve el campo de viento sobre el terreno real (aceleración sobre colinas, estancamiento y recirculación tras edificios, efecto cañón urbano, turbulencia). La herramienta solo desvía los puffs hacia las cotas bajas con una heurística de gradiente. Ese nivel de detalle es inalcanzable en una aplicación de campo y, en general, innecesario para el primer despliegue.</w:t>
      </w:r>
    </w:p>
    <w:p>
      <w:pPr>
        <w:pStyle w:val="Heading2"/>
      </w:pPr>
      <w:r>
        <w:t xml:space="preserve">12.4 Para qué sirve cada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400"/>
        <w:gridCol w:w="2260"/>
      </w:tblGrid>
      <w:tr>
        <w:trPr>
          <w:tblHeader/>
        </w:trPr>
        <w:tc>
          <w:tcPr>
            <w:tcW w:type="dxa" w:w="2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Aspecto</w:t>
            </w:r>
          </w:p>
        </w:tc>
        <w:tc>
          <w:tcPr>
            <w:tcW w:type="dxa" w:w="25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SITAC NBQ (N1)</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HGSYSTEM/PHAST (N2)</w:t>
            </w:r>
          </w:p>
        </w:tc>
        <w:tc>
          <w:tcPr>
            <w:tcW w:type="dxa" w:w="22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CFD (N3)</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Momento de uso</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Primer despliegue,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Análisis de riesgo, peritaje</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Diseño de planta, forense</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Tiempo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Instantáneo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Minutos (con experto)</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Horas-días</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Operador</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El mando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Ingeniero de seguridad</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Especialista CFD</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Validado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r>
    </w:tbl>
    <w:p>
      <w:pPr>
        <w:spacing w:after="80"/>
      </w:pPr>
      <w:r>
        <w:t xml:space="preserve"/>
      </w:r>
    </w:p>
    <w:p>
      <w:pPr>
        <w:spacing w:after="120"/>
      </w:pPr>
      <w:r>
        <w:t xml:space="preserve">SITAC NBQ no compite con los modelos de Nivel 2 ni 3: ocupa deliberadamente otro lugar. Su valor es ofrecer un orden de magnitud y una tendencia en segundos cuando se está llegando al incidente sin otra herramienta. Un modelo integral da una cifra defendible más tarde, en un despacho y con un experto. No son sustitutos, sino momentos distintos de la respuesta. Por eso la herramienta integra la importación de la huella de ALOHA: para incorporar el cálculo de mayor nivel cuando esté disponible.</w:t>
      </w:r>
    </w:p>
    <w:p>
      <w:pPr>
        <w:pStyle w:val="Heading2"/>
      </w:pPr>
      <w:r>
        <w:t xml:space="preserve">12.5 Cuantificación honesta de la incertidumbre</w:t>
      </w:r>
    </w:p>
    <w:p>
      <w:pPr>
        <w:pStyle w:val="ListParagraph"/>
        <w:numPr>
          <w:ilvl w:val="0"/>
          <w:numId w:val="2"/>
        </w:numPr>
        <w:spacing w:after="60"/>
      </w:pPr>
      <w:r>
        <w:t xml:space="preserve">En fenomenología (hacia dónde va la nube, si sube o baja, si el chorro va alto cerca del foco), las tendencias son razonablemente correctas.</w:t>
      </w:r>
    </w:p>
    <w:p>
      <w:pPr>
        <w:pStyle w:val="ListParagraph"/>
        <w:numPr>
          <w:ilvl w:val="0"/>
          <w:numId w:val="2"/>
        </w:numPr>
        <w:spacing w:after="60"/>
      </w:pPr>
      <w:r>
        <w:t xml:space="preserve">En precisión numérica (cuántas ppm exactamente a una distancia dada), el error puede situarse fácilmente en un factor 3 a 10, frente al factor 2 de un modelo integral validado, y además ese error no está caracterizado experimentalmente.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Conclusión</w:t>
            </w:r>
          </w:p>
          <w:p>
            <w:r>
              <w:t xml:space="preserve">La insistencia de la herramienta en «estimación de gabinete, aplicar el método más restrictivo» no es una fórmula legal: refleja el lugar real que ocupa. Para la valoración oficial, use un modelo validado (ALOHA o superior) e importe su huella.</w:t>
            </w:r>
          </w:p>
        </w:tc>
      </w:tr>
    </w:tbl>
    <w:p>
      <w:r>
        <w:br w:type="page"/>
      </w:r>
    </w:p>
    <w:p>
      <w:pPr>
        <w:pStyle w:val="Heading1"/>
      </w:pPr>
      <w:r>
        <w:t xml:space="preserve">13. Fuentes normativas y limitaciones</w:t>
      </w:r>
    </w:p>
    <w:p>
      <w:pPr>
        <w:pStyle w:val="Heading2"/>
      </w:pPr>
      <w:r>
        <w:t xml:space="preserve">13.1 Fuentes</w:t>
      </w:r>
    </w:p>
    <w:p>
      <w:pPr>
        <w:pStyle w:val="ListParagraph"/>
        <w:numPr>
          <w:ilvl w:val="0"/>
          <w:numId w:val="2"/>
        </w:numPr>
        <w:spacing w:after="60"/>
      </w:pPr>
      <w:r>
        <w:t xml:space="preserve">Umbrales tóxicos: U.S. EPA AEGL-1/2/3 a 60 min (NRC/NAS).</w:t>
      </w:r>
    </w:p>
    <w:p>
      <w:pPr>
        <w:pStyle w:val="ListParagraph"/>
        <w:numPr>
          <w:ilvl w:val="0"/>
          <w:numId w:val="2"/>
        </w:numPr>
        <w:spacing w:after="60"/>
      </w:pPr>
      <w:r>
        <w:t xml:space="preserve">Inflamables: NFPA 72 / ATEX 2014/34/UE; datasheet del sensor MPS de NevadaNano (IEC 60079-20-1).</w:t>
      </w:r>
    </w:p>
    <w:p>
      <w:pPr>
        <w:pStyle w:val="ListParagraph"/>
        <w:numPr>
          <w:ilvl w:val="0"/>
          <w:numId w:val="2"/>
        </w:numPr>
        <w:spacing w:after="60"/>
      </w:pPr>
      <w:r>
        <w:t xml:space="preserve">Emergencia: CANUTEC ERG 2024, Tabla 1 (Cl₂ y NH₃ contrastados con NIOSH/CDC).</w:t>
      </w:r>
    </w:p>
    <w:p>
      <w:pPr>
        <w:pStyle w:val="ListParagraph"/>
        <w:numPr>
          <w:ilvl w:val="0"/>
          <w:numId w:val="2"/>
        </w:numPr>
        <w:spacing w:after="60"/>
      </w:pPr>
      <w:r>
        <w:t xml:space="preserve">Transporte: ADR 2025 / Libro Naranja ONU; RD 97/2014 (España).</w:t>
      </w:r>
    </w:p>
    <w:p>
      <w:pPr>
        <w:pStyle w:val="ListParagraph"/>
        <w:numPr>
          <w:ilvl w:val="0"/>
          <w:numId w:val="2"/>
        </w:numPr>
        <w:spacing w:after="60"/>
      </w:pPr>
      <w:r>
        <w:t xml:space="preserve">Modelo de gas denso: Britter &amp; McQuaid (1988); documentación técnica de ALOHA (NOAA/EPA).</w:t>
      </w:r>
    </w:p>
    <w:p>
      <w:pPr>
        <w:pStyle w:val="ListParagraph"/>
        <w:numPr>
          <w:ilvl w:val="0"/>
          <w:numId w:val="2"/>
        </w:numPr>
        <w:spacing w:after="60"/>
      </w:pPr>
      <w:r>
        <w:t xml:space="preserve">Propiedades físicas (densidad, presión de vapor): NIOSH Pocket Guide, CAMEO Chemicals, fichas de seguridad.</w:t>
      </w:r>
    </w:p>
    <w:p>
      <w:pPr>
        <w:pStyle w:val="ListParagraph"/>
        <w:numPr>
          <w:ilvl w:val="0"/>
          <w:numId w:val="2"/>
        </w:numPr>
        <w:spacing w:after="60"/>
      </w:pPr>
      <w:r>
        <w:t xml:space="preserve">Sensores: Blackline Safety; City Technology / Sensoric / NevadaNano MPS.</w:t>
      </w:r>
    </w:p>
    <w:p>
      <w:pPr>
        <w:pStyle w:val="ListParagraph"/>
        <w:numPr>
          <w:ilvl w:val="0"/>
          <w:numId w:val="2"/>
        </w:numPr>
        <w:spacing w:after="60"/>
      </w:pPr>
      <w:r>
        <w:t xml:space="preserve">Cartografía y elevación: OpenStreetMap, Esri World Imagery, API de elevación Open-Meteo.</w:t>
      </w:r>
    </w:p>
    <w:p>
      <w:pPr>
        <w:pStyle w:val="Heading2"/>
      </w:pPr>
      <w:r>
        <w:t xml:space="preserve">13.2 Limitaciones generales</w:t>
      </w:r>
    </w:p>
    <w:p>
      <w:pPr>
        <w:pStyle w:val="ListParagraph"/>
        <w:numPr>
          <w:ilvl w:val="0"/>
          <w:numId w:val="2"/>
        </w:numPr>
        <w:spacing w:after="60"/>
      </w:pPr>
      <w:r>
        <w:t xml:space="preserve">Herramienta de apoyo a la decisión; no es un instrumento de medida ni un código de dispersión certificado.</w:t>
      </w:r>
    </w:p>
    <w:p>
      <w:pPr>
        <w:pStyle w:val="ListParagraph"/>
        <w:numPr>
          <w:ilvl w:val="0"/>
          <w:numId w:val="2"/>
        </w:numPr>
        <w:spacing w:after="60"/>
      </w:pPr>
      <w:r>
        <w:t xml:space="preserve">Las probabilidades, niveles y plumas son orientativos y dependen de la calidad de las lecturas introducidas.</w:t>
      </w:r>
    </w:p>
    <w:p>
      <w:pPr>
        <w:pStyle w:val="ListParagraph"/>
        <w:numPr>
          <w:ilvl w:val="0"/>
          <w:numId w:val="2"/>
        </w:numPr>
        <w:spacing w:after="60"/>
      </w:pPr>
      <w:r>
        <w:t xml:space="preserve">El modelo de gas denso es la correlación de Britter-McQuaid (la física de ALOHA), no ALOHA ni un CFD; la canalización topográfica es heurística.</w:t>
      </w:r>
    </w:p>
    <w:p>
      <w:pPr>
        <w:pStyle w:val="ListParagraph"/>
        <w:numPr>
          <w:ilvl w:val="0"/>
          <w:numId w:val="2"/>
        </w:numPr>
        <w:spacing w:after="60"/>
      </w:pPr>
      <w:r>
        <w:t xml:space="preserve">La meteorología y la cartografía dependen de servicios externos; sin red se opera con datos manuales y caché.</w:t>
      </w:r>
    </w:p>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Recordatorio final</w:t>
            </w:r>
          </w:p>
          <w:p>
            <w:r>
              <w:t xml:space="preserve">Ninguna salida de SITAC NBQ sustituye la confirmación analítica de campo, el bump test de contraste ni el criterio del mando. Ante cualquier duda, máxima restricción.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SITAC NBQ · no sustituye la confirmación de campo · Página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2" w:sz="4" w:space="2"/>
      </w:pBdr>
      <w:jc w:val="right"/>
    </w:pPr>
    <w:r>
      <w:rPr>
        <w:color w:val="475569"/>
        <w:sz w:val="16"/>
        <w:szCs w:val="16"/>
      </w:rPr>
      <w:t xml:space="preserve">SITAC NBQ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6BA8" w:sz="6" w:space="4"/>
      </w:pBdr>
      <w:spacing w:after="160" w:before="300"/>
      <w:outlineLvl w:val="0"/>
    </w:pPr>
    <w:rPr>
      <w:rFonts w:ascii="Cambria" w:cs="Cambria" w:eastAsia="Cambria" w:hAnsi="Cambria"/>
      <w:b/>
      <w:bCs/>
      <w:color w:val="0B1F3A"/>
      <w:sz w:val="34"/>
      <w:szCs w:val="34"/>
    </w:rPr>
  </w:style>
  <w:style w:type="paragraph" w:styleId="Heading2">
    <w:name w:val="Heading 2"/>
    <w:basedOn w:val="Normal"/>
    <w:next w:val="Normal"/>
    <w:qFormat/>
    <w:pPr>
      <w:spacing w:after="100" w:before="200"/>
      <w:outlineLvl w:val="1"/>
    </w:pPr>
    <w:rPr>
      <w:rFonts w:ascii="Cambria" w:cs="Cambria" w:eastAsia="Cambria" w:hAnsi="Cambria"/>
      <w:b/>
      <w:bCs/>
      <w:color w:val="0E6BA8"/>
      <w:sz w:val="26"/>
      <w:szCs w:val="26"/>
    </w:rPr>
  </w:style>
  <w:style w:type="paragraph" w:styleId="Heading3">
    <w:name w:val="Heading 3"/>
    <w:basedOn w:val="Normal"/>
    <w:next w:val="Normal"/>
    <w:qFormat/>
    <w:pPr>
      <w:spacing w:after="80" w:before="14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SITAC NBQ</dc:title>
  <dc:creator>SITAC NBQ</dc:creator>
  <cp:lastModifiedBy>Un-named</cp:lastModifiedBy>
  <cp:revision>1</cp:revision>
  <dcterms:created xsi:type="dcterms:W3CDTF">2026-06-16T19:04:32.196Z</dcterms:created>
  <dcterms:modified xsi:type="dcterms:W3CDTF">2026-06-16T19:04:32.210Z</dcterms:modified>
</cp:coreProperties>
</file>

<file path=docProps/custom.xml><?xml version="1.0" encoding="utf-8"?>
<Properties xmlns="http://schemas.openxmlformats.org/officeDocument/2006/custom-properties" xmlns:vt="http://schemas.openxmlformats.org/officeDocument/2006/docPropsVTypes"/>
</file>