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b/>
          <w:bCs/>
          <w:color w:val="1F4E79"/>
          <w:sz w:val="64"/>
          <w:szCs w:val="64"/>
        </w:rPr>
        <w:t xml:space="preserve">SITAC NBQ</w:t>
      </w:r>
    </w:p>
    <w:p>
      <w:pPr>
        <w:spacing w:after="30"/>
        <w:jc w:val="center"/>
      </w:pPr>
      <w:r>
        <w:rPr>
          <w:color w:val="44546A"/>
          <w:sz w:val="26"/>
          <w:szCs w:val="26"/>
        </w:rPr>
        <w:t xml:space="preserve">Sistema Táctico de Apoyo a la Decisión</w:t>
      </w:r>
    </w:p>
    <w:p>
      <w:pPr>
        <w:spacing w:after="260"/>
        <w:jc w:val="center"/>
      </w:pPr>
      <w:r>
        <w:rPr>
          <w:color w:val="44546A"/>
          <w:sz w:val="26"/>
          <w:szCs w:val="26"/>
        </w:rPr>
        <w:t xml:space="preserve">Intervención NBQ y Mercancías Peligrosas</w:t>
      </w:r>
    </w:p>
    <w:p>
      <w:pPr>
        <w:spacing w:after="40"/>
        <w:jc w:val="center"/>
      </w:pPr>
      <w:r>
        <w:rPr>
          <w:b/>
          <w:bCs/>
          <w:color w:val="111827"/>
          <w:sz w:val="30"/>
          <w:szCs w:val="30"/>
        </w:rPr>
        <w:t xml:space="preserve">MANUAL DE USUARIO Y REFERENCIA TÉCNICA</w:t>
      </w:r>
    </w:p>
    <w:p>
      <w:pPr>
        <w:spacing w:after="340"/>
        <w:jc w:val="center"/>
      </w:pPr>
      <w:r>
        <w:rPr>
          <w:i/>
          <w:iCs/>
          <w:color w:val="44546A"/>
          <w:sz w:val="22"/>
          <w:szCs w:val="22"/>
        </w:rPr>
        <w:t xml:space="preserve">Versión de aplicación · julio 2026</w:t>
      </w:r>
    </w:p>
    <w:p>
      <w:pPr>
        <w:spacing w:after="20"/>
        <w:jc w:val="center"/>
      </w:pPr>
      <w:r>
        <w:rPr>
          <w:b/>
          <w:bCs/>
          <w:color w:val="1F2937"/>
          <w:sz w:val="24"/>
          <w:szCs w:val="24"/>
        </w:rPr>
        <w:t xml:space="preserve">Autor y creador: NABIL NÚÑEZ</w:t>
      </w:r>
    </w:p>
    <w:p>
      <w:pPr>
        <w:spacing w:after="400"/>
        <w:jc w:val="center"/>
      </w:pPr>
      <w:r>
        <w:rPr>
          <w:i/>
          <w:iCs/>
          <w:color w:val="44546A"/>
          <w:sz w:val="18"/>
          <w:szCs w:val="18"/>
        </w:rPr>
        <w:t xml:space="preserve">© Todos los derechos reservados al autor</w:t>
      </w:r>
    </w:p>
    <w:tbl>
      <w:tblPr>
        <w:tblW w:type="dxa" w:w="9360"/>
        <w:tblBorders>
          <w:top w:val="single" w:color="B91C1C" w:sz="6"/>
          <w:left w:val="single" w:color="B91C1C" w:sz="18"/>
          <w:bottom w:val="single" w:color="B91C1C" w:sz="6"/>
          <w:right w:val="single" w:color="B91C1C" w:sz="6"/>
          <w:insideH w:val="none"/>
          <w:insideV w:val="none"/>
        </w:tblBorders>
      </w:tblPr>
      <w:tblGrid>
        <w:gridCol w:w="9360"/>
      </w:tblGrid>
      <w:tr>
        <w:tc>
          <w:tcPr>
            <w:tcW w:type="dxa" w:w="9360"/>
            <w:shd w:fill="FEF2F2" w:val="clear"/>
            <w:tcMar>
              <w:top w:type="dxa" w:w="120"/>
              <w:left w:type="dxa" w:w="160"/>
              <w:bottom w:type="dxa" w:w="120"/>
              <w:right w:type="dxa" w:w="160"/>
            </w:tcMar>
          </w:tcPr>
          <w:p>
            <w:pPr>
              <w:spacing w:after="40" w:line="250"/>
            </w:pPr>
            <w:r>
              <w:rPr>
                <w:b/>
                <w:bCs/>
                <w:i w:val="false"/>
                <w:iCs w:val="false"/>
                <w:color w:val="B91C1C"/>
                <w:sz w:val="20"/>
                <w:szCs w:val="20"/>
              </w:rPr>
              <w:t xml:space="preserve">DOCUMENTO DE APOYO — NO SUSTITUYE LA CONFIRMACIÓN ANALÍTICA DE CAMPO,</w:t>
            </w:r>
          </w:p>
          <w:p>
            <w:pPr>
              <w:spacing w:after="40" w:line="250"/>
            </w:pPr>
            <w:r>
              <w:rPr>
                <w:b/>
                <w:bCs/>
                <w:i w:val="false"/>
                <w:iCs w:val="false"/>
                <w:color w:val="B91C1C"/>
                <w:sz w:val="20"/>
                <w:szCs w:val="20"/>
              </w:rPr>
              <w:t xml:space="preserve">EL BUMP TEST DE CONTRASTE NI EL CRITERIO DEL MANDO</w:t>
            </w:r>
          </w:p>
        </w:tc>
      </w:tr>
    </w:tbl>
    <w:p>
      <w:r>
        <w:br w:type="page"/>
      </w:r>
    </w:p>
    <w:p>
      <w:pPr>
        <w:pStyle w:val="Heading1"/>
        <w:spacing w:after="120" w:before="280"/>
      </w:pPr>
      <w:r>
        <w:rPr>
          <w:b/>
          <w:bCs/>
          <w:color w:val="1F4E79"/>
          <w:sz w:val="30"/>
          <w:szCs w:val="30"/>
        </w:rP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b/>
          <w:bCs/>
          <w:color w:val="1F4E79"/>
          <w:sz w:val="30"/>
          <w:szCs w:val="30"/>
        </w:rPr>
        <w:t xml:space="preserve">1. Introducción y propósito</w:t>
      </w:r>
    </w:p>
    <w:p>
      <w:pPr>
        <w:spacing w:after="100" w:line="264"/>
      </w:pPr>
      <w:r>
        <w:rPr>
          <w:b w:val="false"/>
          <w:bCs w:val="false"/>
          <w:i w:val="false"/>
          <w:iCs w:val="false"/>
          <w:color w:val="1F2937"/>
          <w:sz w:val="21"/>
          <w:szCs w:val="21"/>
        </w:rPr>
        <w:t xml:space="preserve">SITAC NBQ es una aplicación web progresiva (PWA) de apoyo a la decisión para la intervención en emergencias con materias peligrosas y agentes NBQ. Funciona en smartphone, tablet o portátil de mando, está diseñada para uso en campo y sigue operando sin cobertura tras la primera carga.</w:t>
      </w:r>
    </w:p>
    <w:p>
      <w:pPr>
        <w:spacing w:after="100" w:line="264"/>
      </w:pPr>
      <w:r>
        <w:rPr>
          <w:b w:val="false"/>
          <w:bCs w:val="false"/>
          <w:i w:val="false"/>
          <w:iCs w:val="false"/>
          <w:color w:val="1F2937"/>
          <w:sz w:val="21"/>
          <w:szCs w:val="21"/>
        </w:rPr>
        <w:t xml:space="preserve">La herramienta integra todo el ciclo de decisión en un flujo único: identificación del gas a partir de detectores con corrección de interferencias por sensibilidad cruzada, identificación documental por número ONU, análisis de cobertura del sensor (medición directa, cruzada o imposible), predicción de subproductos de reacción según el contenedor, asignación de nivel de riesgo según umbrales EPA AEGL, zonificación táctica con anclaje normativo ERG 2024, modelización de la pluma (geométrica, gaussiana, de gas denso calibrada y dinámica con topografía), meteorología automática, composición de la orden inicial de mando (GOM) y utilidades operativas (cuadro de mando, registro, compartición y enlace COP).</w:t>
      </w:r>
    </w:p>
    <w:p>
      <w:pPr>
        <w:spacing w:after="100" w:line="264"/>
      </w:pPr>
      <w:r>
        <w:rPr>
          <w:b w:val="false"/>
          <w:bCs w:val="false"/>
          <w:i w:val="false"/>
          <w:iCs w:val="false"/>
          <w:color w:val="1F2937"/>
          <w:sz w:val="21"/>
          <w:szCs w:val="21"/>
        </w:rPr>
        <w:t xml:space="preserve">La interfaz se organiza en pantallas separadas para uso táctil en campo y dispone de un asistente guiado de seis pasos (la meteorología se obtiene de forma automática, sin paso propio) que conduce la intervención desde la identificación hasta la orden.</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EF2F7" w:val="clear"/>
            <w:tcMar>
              <w:top w:type="dxa" w:w="120"/>
              <w:left w:type="dxa" w:w="160"/>
              <w:bottom w:type="dxa" w:w="120"/>
              <w:right w:type="dxa" w:w="160"/>
            </w:tcMar>
          </w:tcPr>
          <w:p>
            <w:pPr>
              <w:spacing w:after="60"/>
            </w:pPr>
            <w:r>
              <w:rPr>
                <w:b/>
                <w:bCs/>
                <w:color w:val="1F4E79"/>
                <w:sz w:val="21"/>
                <w:szCs w:val="21"/>
              </w:rPr>
              <w:t xml:space="preserve">Filosofía de uso</w:t>
            </w:r>
          </w:p>
          <w:p>
            <w:pPr>
              <w:spacing w:after="40" w:line="250"/>
            </w:pPr>
            <w:r>
              <w:rPr>
                <w:b w:val="false"/>
                <w:bCs w:val="false"/>
                <w:i w:val="false"/>
                <w:iCs w:val="false"/>
                <w:color w:val="1F2937"/>
                <w:sz w:val="20"/>
                <w:szCs w:val="20"/>
              </w:rPr>
              <w:t xml:space="preserve">Toda salida es orientativa y se rige por el principio de máxima restricción: ante incertidumbre, se adopta siempre la hipótesis más desfavorable. Ningún resultado sustituye la medición de contraste ni la decisión del mando.</w:t>
            </w:r>
          </w:p>
        </w:tc>
      </w:tr>
    </w:tbl>
    <w:p>
      <w:pPr>
        <w:spacing w:after="80"/>
      </w:pPr>
      <w:r>
        <w:t xml:space="preserve"/>
      </w:r>
    </w:p>
    <w:p>
      <w:pPr>
        <w:pStyle w:val="Heading1"/>
        <w:spacing w:after="120" w:before="280"/>
      </w:pPr>
      <w:r>
        <w:rPr>
          <w:b/>
          <w:bCs/>
          <w:color w:val="1F4E79"/>
          <w:sz w:val="30"/>
          <w:szCs w:val="30"/>
        </w:rPr>
        <w:t xml:space="preserve">2. Novedades de esta versión (julio 2026)</w:t>
      </w:r>
    </w:p>
    <w:p>
      <w:pPr>
        <w:spacing w:after="100" w:line="264"/>
      </w:pPr>
      <w:r>
        <w:rPr>
          <w:b w:val="false"/>
          <w:bCs w:val="false"/>
          <w:i w:val="false"/>
          <w:iCs w:val="false"/>
          <w:color w:val="1F2937"/>
          <w:sz w:val="21"/>
          <w:szCs w:val="21"/>
        </w:rPr>
        <w:t xml:space="preserve">Esta versión incorpora mejoras de precisión del modelo, coherencia del cálculo, visualización táctica y legibilidad en campo. Los cambios principales son:</w:t>
      </w:r>
    </w:p>
    <w:p>
      <w:pPr>
        <w:pStyle w:val="Heading3"/>
        <w:spacing w:after="70" w:before="150"/>
      </w:pPr>
      <w:r>
        <w:rPr>
          <w:b/>
          <w:bCs/>
          <w:color w:val="44546A"/>
          <w:sz w:val="22"/>
          <w:szCs w:val="22"/>
        </w:rPr>
        <w:t xml:space="preserve">Precisión del modelo de dispersión</w:t>
      </w:r>
    </w:p>
    <w:p>
      <w:pPr>
        <w:pStyle w:val="ListParagraph"/>
        <w:numPr>
          <w:ilvl w:val="0"/>
          <w:numId w:val="2"/>
        </w:numPr>
        <w:spacing w:after="60" w:line="260"/>
      </w:pPr>
      <w:r>
        <w:rPr>
          <w:b/>
          <w:bCs/>
          <w:i w:val="false"/>
          <w:iCs w:val="false"/>
          <w:color w:val="1F2937"/>
          <w:sz w:val="21"/>
          <w:szCs w:val="21"/>
        </w:rPr>
        <w:t xml:space="preserve">Calibración a CERES/ALOHA: </w:t>
      </w:r>
      <w:r>
        <w:rPr>
          <w:b w:val="false"/>
          <w:bCs w:val="false"/>
          <w:i w:val="false"/>
          <w:iCs w:val="false"/>
          <w:color w:val="1F2937"/>
          <w:sz w:val="21"/>
          <w:szCs w:val="21"/>
        </w:rPr>
        <w:t xml:space="preserve">el modelo de gas denso se ha recalibrado contra la familia de herramientas de gas pesado (CERES y ALOHA). Con el mismo término fuente reproduce las distancias de CERES dentro de un margen aproximado del ±6 % en las tres zonas (antes las infraestimaba en torno a 3×). El escalado con caudal y viento se mantiene coherente con ambas referencias.</w:t>
      </w:r>
    </w:p>
    <w:p>
      <w:pPr>
        <w:pStyle w:val="ListParagraph"/>
        <w:numPr>
          <w:ilvl w:val="0"/>
          <w:numId w:val="2"/>
        </w:numPr>
        <w:spacing w:after="60" w:line="260"/>
      </w:pPr>
      <w:r>
        <w:rPr>
          <w:b/>
          <w:bCs/>
          <w:i w:val="false"/>
          <w:iCs w:val="false"/>
          <w:color w:val="1F2937"/>
          <w:sz w:val="21"/>
          <w:szCs w:val="21"/>
        </w:rPr>
        <w:t xml:space="preserve">Caída de la pluma por zonas: </w:t>
      </w:r>
      <w:r>
        <w:rPr>
          <w:b w:val="false"/>
          <w:bCs w:val="false"/>
          <w:i w:val="false"/>
          <w:iCs w:val="false"/>
          <w:color w:val="1F2937"/>
          <w:sz w:val="21"/>
          <w:szCs w:val="21"/>
        </w:rPr>
        <w:t xml:space="preserve">las vistas de planta y perfil muestran ahora las tres zonas (caliente, templada y fría) como contornos anidados en color que descienden al suelo a su alcance, al estilo de CERES/ALOHA, en lugar de una única envolvente.</w:t>
      </w:r>
    </w:p>
    <w:p>
      <w:pPr>
        <w:pStyle w:val="Heading3"/>
        <w:spacing w:after="70" w:before="150"/>
      </w:pPr>
      <w:r>
        <w:rPr>
          <w:b/>
          <w:bCs/>
          <w:color w:val="44546A"/>
          <w:sz w:val="22"/>
          <w:szCs w:val="22"/>
        </w:rPr>
        <w:t xml:space="preserve">Coherencia del cálculo</w:t>
      </w:r>
    </w:p>
    <w:p>
      <w:pPr>
        <w:pStyle w:val="ListParagraph"/>
        <w:numPr>
          <w:ilvl w:val="0"/>
          <w:numId w:val="2"/>
        </w:numPr>
        <w:spacing w:after="60" w:line="260"/>
      </w:pPr>
      <w:r>
        <w:rPr>
          <w:b/>
          <w:bCs/>
          <w:i w:val="false"/>
          <w:iCs w:val="false"/>
          <w:color w:val="1F2937"/>
          <w:sz w:val="21"/>
          <w:szCs w:val="21"/>
        </w:rPr>
        <w:t xml:space="preserve">Concentración por sensibilidad cruzada unificada: </w:t>
      </w:r>
      <w:r>
        <w:rPr>
          <w:b w:val="false"/>
          <w:bCs w:val="false"/>
          <w:i w:val="false"/>
          <w:iCs w:val="false"/>
          <w:color w:val="1F2937"/>
          <w:sz w:val="21"/>
          <w:szCs w:val="21"/>
        </w:rPr>
        <w:t xml:space="preserve">el asistente y el análisis usan ahora idéntica conversión. Cuando la sustancia se mide por una celda que responde de forma cruzada, la concentración se obtiene dividiendo la lectura por el ratio de interferencia de la tabla ([sustancia] = lectura ÷ ratio), tomando el máximo entre celdas. Antes el análisis mostraba la lectura cruda y podía diferir del valor del asistente.</w:t>
      </w:r>
    </w:p>
    <w:p>
      <w:pPr>
        <w:pStyle w:val="Heading3"/>
        <w:spacing w:after="70" w:before="150"/>
      </w:pPr>
      <w:r>
        <w:rPr>
          <w:b/>
          <w:bCs/>
          <w:color w:val="44546A"/>
          <w:sz w:val="22"/>
          <w:szCs w:val="22"/>
        </w:rPr>
        <w:t xml:space="preserve">Análisis y sector</w:t>
      </w:r>
    </w:p>
    <w:p>
      <w:pPr>
        <w:pStyle w:val="ListParagraph"/>
        <w:numPr>
          <w:ilvl w:val="0"/>
          <w:numId w:val="2"/>
        </w:numPr>
        <w:spacing w:after="60" w:line="260"/>
      </w:pPr>
      <w:r>
        <w:rPr>
          <w:b/>
          <w:bCs/>
          <w:i w:val="false"/>
          <w:iCs w:val="false"/>
          <w:color w:val="1F2937"/>
          <w:sz w:val="21"/>
          <w:szCs w:val="21"/>
        </w:rPr>
        <w:t xml:space="preserve">Probabilidad por lectura y sector: </w:t>
      </w:r>
      <w:r>
        <w:rPr>
          <w:b w:val="false"/>
          <w:bCs w:val="false"/>
          <w:i w:val="false"/>
          <w:iCs w:val="false"/>
          <w:color w:val="1F2937"/>
          <w:sz w:val="21"/>
          <w:szCs w:val="21"/>
        </w:rPr>
        <w:t xml:space="preserve">el cuadro «Gas más probable» de la pantalla de Análisis combina la probabilidad por lectura con la expectativa del sector cuando se selecciona uno. Los gases esperados se marcan en verde y los atípicos en rojo, y las barras se reordenan por la probabilidad combinada.</w:t>
      </w:r>
    </w:p>
    <w:p>
      <w:pPr>
        <w:pStyle w:val="ListParagraph"/>
        <w:numPr>
          <w:ilvl w:val="0"/>
          <w:numId w:val="2"/>
        </w:numPr>
        <w:spacing w:after="60" w:line="260"/>
      </w:pPr>
      <w:r>
        <w:rPr>
          <w:b/>
          <w:bCs/>
          <w:i w:val="false"/>
          <w:iCs w:val="false"/>
          <w:color w:val="1F2937"/>
          <w:sz w:val="21"/>
          <w:szCs w:val="21"/>
        </w:rPr>
        <w:t xml:space="preserve">Selección de sector desde el propio cuadro: </w:t>
      </w:r>
      <w:r>
        <w:rPr>
          <w:b w:val="false"/>
          <w:bCs w:val="false"/>
          <w:i w:val="false"/>
          <w:iCs w:val="false"/>
          <w:color w:val="1F2937"/>
          <w:sz w:val="21"/>
          <w:szCs w:val="21"/>
        </w:rPr>
        <w:t xml:space="preserve">se puede elegir o cambiar el sector directamente en el widget de cabecera, actualizando la corroboración al instante.</w:t>
      </w:r>
    </w:p>
    <w:p>
      <w:pPr>
        <w:pStyle w:val="Heading3"/>
        <w:spacing w:after="70" w:before="150"/>
      </w:pPr>
      <w:r>
        <w:rPr>
          <w:b/>
          <w:bCs/>
          <w:color w:val="44546A"/>
          <w:sz w:val="22"/>
          <w:szCs w:val="22"/>
        </w:rPr>
        <w:t xml:space="preserve">Base de datos y usabilidad</w:t>
      </w:r>
    </w:p>
    <w:p>
      <w:pPr>
        <w:pStyle w:val="ListParagraph"/>
        <w:numPr>
          <w:ilvl w:val="0"/>
          <w:numId w:val="2"/>
        </w:numPr>
        <w:spacing w:after="60" w:line="260"/>
      </w:pPr>
      <w:r>
        <w:rPr>
          <w:b/>
          <w:bCs/>
          <w:i w:val="false"/>
          <w:iCs w:val="false"/>
          <w:color w:val="1F2937"/>
          <w:sz w:val="21"/>
          <w:szCs w:val="21"/>
        </w:rPr>
        <w:t xml:space="preserve">Base ampliada a 77 sustancias, </w:t>
      </w:r>
      <w:r>
        <w:rPr>
          <w:b w:val="false"/>
          <w:bCs w:val="false"/>
          <w:i w:val="false"/>
          <w:iCs w:val="false"/>
          <w:color w:val="1F2937"/>
          <w:sz w:val="21"/>
          <w:szCs w:val="21"/>
        </w:rPr>
        <w:t xml:space="preserve">con incorporación del UN 1300 (sucedáneo de aguarrás / white spirit) como ficha propia, corrigiendo su antigua asignación a «gasolina».</w:t>
      </w:r>
    </w:p>
    <w:p>
      <w:pPr>
        <w:pStyle w:val="ListParagraph"/>
        <w:numPr>
          <w:ilvl w:val="0"/>
          <w:numId w:val="2"/>
        </w:numPr>
        <w:spacing w:after="60" w:line="260"/>
      </w:pPr>
      <w:r>
        <w:rPr>
          <w:b/>
          <w:bCs/>
          <w:i w:val="false"/>
          <w:iCs w:val="false"/>
          <w:color w:val="1F2937"/>
          <w:sz w:val="21"/>
          <w:szCs w:val="21"/>
        </w:rPr>
        <w:t xml:space="preserve">Tema visual claro de alto contraste, </w:t>
      </w:r>
      <w:r>
        <w:rPr>
          <w:b w:val="false"/>
          <w:bCs w:val="false"/>
          <w:i w:val="false"/>
          <w:iCs w:val="false"/>
          <w:color w:val="1F2937"/>
          <w:sz w:val="21"/>
          <w:szCs w:val="21"/>
        </w:rPr>
        <w:t xml:space="preserve">ajustes de legibilidad de tarjetas y desplegables, correcciones de recorte en móvil y de la navegación entre pantallas (Orden inicial, Zonificación y Mapa).</w:t>
      </w:r>
    </w:p>
    <w:p>
      <w:pPr>
        <w:spacing w:after="80"/>
      </w:pPr>
      <w:r>
        <w:t xml:space="preserve"/>
      </w:r>
    </w:p>
    <w:p>
      <w:pPr>
        <w:pStyle w:val="Heading1"/>
        <w:spacing w:after="120" w:before="280"/>
      </w:pPr>
      <w:r>
        <w:rPr>
          <w:b/>
          <w:bCs/>
          <w:color w:val="1F4E79"/>
          <w:sz w:val="30"/>
          <w:szCs w:val="30"/>
        </w:rPr>
        <w:t xml:space="preserve">3. Instalación y primer uso</w:t>
      </w:r>
    </w:p>
    <w:p>
      <w:pPr>
        <w:pStyle w:val="Heading2"/>
        <w:spacing w:after="90" w:before="200"/>
      </w:pPr>
      <w:r>
        <w:rPr>
          <w:b/>
          <w:bCs/>
          <w:color w:val="44546A"/>
          <w:sz w:val="25"/>
          <w:szCs w:val="25"/>
        </w:rPr>
        <w:t xml:space="preserve">3.1 Despliegue y acceso</w:t>
      </w:r>
    </w:p>
    <w:p>
      <w:pPr>
        <w:spacing w:after="100" w:line="264"/>
      </w:pPr>
      <w:r>
        <w:rPr>
          <w:b w:val="false"/>
          <w:bCs w:val="false"/>
          <w:i w:val="false"/>
          <w:iCs w:val="false"/>
          <w:color w:val="1F2937"/>
          <w:sz w:val="21"/>
          <w:szCs w:val="21"/>
        </w:rPr>
        <w:t xml:space="preserve">La aplicación se sirve como PWA desde </w:t>
      </w:r>
      <w:r>
        <w:rPr>
          <w:b/>
          <w:bCs/>
          <w:i w:val="false"/>
          <w:iCs w:val="false"/>
          <w:color w:val="1F2937"/>
          <w:sz w:val="21"/>
          <w:szCs w:val="21"/>
        </w:rPr>
        <w:t xml:space="preserve">nnuneze.github.io/sitac_nbq/</w:t>
      </w:r>
      <w:r>
        <w:rPr>
          <w:b w:val="false"/>
          <w:bCs w:val="false"/>
          <w:i w:val="false"/>
          <w:iCs w:val="false"/>
          <w:color w:val="1F2937"/>
          <w:sz w:val="21"/>
          <w:szCs w:val="21"/>
        </w:rPr>
        <w:t xml:space="preserve">. Basta abrir esa dirección en el navegador del dispositivo. Tras la primera carga, el contenido queda cacheado y la app funciona sin conexión.</w:t>
      </w:r>
    </w:p>
    <w:p>
      <w:pPr>
        <w:spacing w:after="100" w:line="264"/>
      </w:pPr>
      <w:r>
        <w:rPr>
          <w:b/>
          <w:bCs/>
          <w:i w:val="false"/>
          <w:iCs w:val="false"/>
          <w:color w:val="1F2937"/>
          <w:sz w:val="21"/>
          <w:szCs w:val="21"/>
        </w:rPr>
        <w:t xml:space="preserve">Actualizaciones: </w:t>
      </w:r>
      <w:r>
        <w:rPr>
          <w:b w:val="false"/>
          <w:bCs w:val="false"/>
          <w:i w:val="false"/>
          <w:iCs w:val="false"/>
          <w:color w:val="1F2937"/>
          <w:sz w:val="21"/>
          <w:szCs w:val="21"/>
        </w:rPr>
        <w:t xml:space="preserve">la app usa un Service Worker con caché versionada. Cuando se publica una versión nueva, para que entre conviene cerrar y reabrir la PWA, o recargar forzando (Ctrl/Cmd+Shift+R) dos o tres veces. Hasta que el Service Worker se actualiza, el dispositivo sigue mostrando la versión anterior.</w:t>
      </w:r>
    </w:p>
    <w:p>
      <w:pPr>
        <w:pStyle w:val="Heading2"/>
        <w:spacing w:after="90" w:before="200"/>
      </w:pPr>
      <w:r>
        <w:rPr>
          <w:b/>
          <w:bCs/>
          <w:color w:val="44546A"/>
          <w:sz w:val="25"/>
          <w:szCs w:val="25"/>
        </w:rPr>
        <w:t xml:space="preserve">3.2 Instalación como aplicación</w:t>
      </w:r>
    </w:p>
    <w:p>
      <w:pPr>
        <w:spacing w:after="100" w:line="264"/>
      </w:pPr>
      <w:r>
        <w:rPr>
          <w:b w:val="false"/>
          <w:bCs w:val="false"/>
          <w:i w:val="false"/>
          <w:iCs w:val="false"/>
          <w:color w:val="1F2937"/>
          <w:sz w:val="21"/>
          <w:szCs w:val="21"/>
        </w:rPr>
        <w:t xml:space="preserve">En Android/Chrome: menú del navegador → «Añadir a pantalla de inicio». En iPhone/Safari: botón Compartir → «Añadir a pantalla de inicio». Se crea un icono y la app se abre a pantalla completa, sin barra de navegador.</w:t>
      </w:r>
    </w:p>
    <w:p>
      <w:pPr>
        <w:pStyle w:val="Heading2"/>
        <w:spacing w:after="90" w:before="200"/>
      </w:pPr>
      <w:r>
        <w:rPr>
          <w:b/>
          <w:bCs/>
          <w:color w:val="44546A"/>
          <w:sz w:val="25"/>
          <w:szCs w:val="25"/>
        </w:rPr>
        <w:t xml:space="preserve">3.3 Funcionamiento offline</w:t>
      </w:r>
    </w:p>
    <w:p>
      <w:pPr>
        <w:spacing w:after="100" w:line="264"/>
      </w:pPr>
      <w:r>
        <w:rPr>
          <w:b w:val="false"/>
          <w:bCs w:val="false"/>
          <w:i w:val="false"/>
          <w:iCs w:val="false"/>
          <w:color w:val="1F2937"/>
          <w:sz w:val="21"/>
          <w:szCs w:val="21"/>
        </w:rPr>
        <w:t xml:space="preserve">Tras la primera carga con conexión, la base de sustancias, la lógica de cálculo y la interfaz quedan disponibles sin cobertura. Requieren red únicamente la meteorología automática (GPS + previsión), la cartografía del mapa y la importación de huellas externas.</w:t>
      </w:r>
    </w:p>
    <w:p>
      <w:pPr>
        <w:spacing w:after="80"/>
      </w:pPr>
      <w:r>
        <w:t xml:space="preserve"/>
      </w:r>
    </w:p>
    <w:p>
      <w:pPr>
        <w:pStyle w:val="Heading1"/>
        <w:spacing w:after="120" w:before="280"/>
      </w:pPr>
      <w:r>
        <w:rPr>
          <w:b/>
          <w:bCs/>
          <w:color w:val="1F4E79"/>
          <w:sz w:val="30"/>
          <w:szCs w:val="30"/>
        </w:rPr>
        <w:t xml:space="preserve">4. Flujo operativo: asistente guiado (seis pasos)</w:t>
      </w:r>
    </w:p>
    <w:p>
      <w:pPr>
        <w:spacing w:after="100" w:line="264"/>
      </w:pPr>
      <w:r>
        <w:rPr>
          <w:b w:val="false"/>
          <w:bCs w:val="false"/>
          <w:i w:val="false"/>
          <w:iCs w:val="false"/>
          <w:color w:val="1F2937"/>
          <w:sz w:val="21"/>
          <w:szCs w:val="21"/>
        </w:rPr>
        <w:t xml:space="preserve">El asistente conduce la intervención por pantallas de un solo foco. La meteorología se captura automáticamente en segundo plano (no es un paso). Los seis pasos son:</w:t>
      </w:r>
    </w:p>
    <w:p>
      <w:pPr>
        <w:pStyle w:val="ListParagraph"/>
        <w:numPr>
          <w:ilvl w:val="0"/>
          <w:numId w:val="3"/>
        </w:numPr>
        <w:spacing w:after="60" w:line="260"/>
      </w:pPr>
      <w:r>
        <w:rPr>
          <w:b/>
          <w:bCs/>
          <w:i w:val="false"/>
          <w:iCs w:val="false"/>
          <w:color w:val="1F2937"/>
          <w:sz w:val="21"/>
          <w:szCs w:val="21"/>
        </w:rPr>
        <w:t xml:space="preserve">Sustancia (ONU): </w:t>
      </w:r>
      <w:r>
        <w:rPr>
          <w:b w:val="false"/>
          <w:bCs w:val="false"/>
          <w:i w:val="false"/>
          <w:iCs w:val="false"/>
          <w:color w:val="1F2937"/>
          <w:sz w:val="21"/>
          <w:szCs w:val="21"/>
        </w:rPr>
        <w:t xml:space="preserve">identifica la sustancia por su número ONU del panel naranja mediante un teclado numérico. Es opcional; si se desconoce, se puede saltar y trabajar solo con las lecturas del detector.</w:t>
      </w:r>
    </w:p>
    <w:p>
      <w:pPr>
        <w:pStyle w:val="ListParagraph"/>
        <w:numPr>
          <w:ilvl w:val="0"/>
          <w:numId w:val="3"/>
        </w:numPr>
        <w:spacing w:after="60" w:line="260"/>
      </w:pPr>
      <w:r>
        <w:rPr>
          <w:b/>
          <w:bCs/>
          <w:i w:val="false"/>
          <w:iCs w:val="false"/>
          <w:color w:val="1F2937"/>
          <w:sz w:val="21"/>
          <w:szCs w:val="21"/>
        </w:rPr>
        <w:t xml:space="preserve">Configuración de detectores: </w:t>
      </w:r>
      <w:r>
        <w:rPr>
          <w:b w:val="false"/>
          <w:bCs w:val="false"/>
          <w:i w:val="false"/>
          <w:iCs w:val="false"/>
          <w:color w:val="1F2937"/>
          <w:sz w:val="21"/>
          <w:szCs w:val="21"/>
        </w:rPr>
        <w:t xml:space="preserve">para cada detector (A principal y B de apoyo) se elige fabricante y celdas, y se introducen las lecturas (ppm, % LEL, % O₂). La app resuelve la detectabilidad (directa o cruzada) y corrige interferencias.</w:t>
      </w:r>
    </w:p>
    <w:p>
      <w:pPr>
        <w:spacing w:after="60" w:line="260"/>
        <w:ind w:left="400"/>
      </w:pPr>
      <w:r>
        <w:rPr>
          <w:i/>
          <w:iCs/>
          <w:color w:val="44546A"/>
          <w:sz w:val="20"/>
          <w:szCs w:val="20"/>
        </w:rPr>
        <w:t xml:space="preserve">↳ Meteorología (automática, sin paso propio): al avanzar desde detectores, la app captura el viento real por GPS y programa un refresco periódico; los datos (viento, temperatura, humedad y lluvia) aparecen en el indicador superior.</w:t>
      </w:r>
    </w:p>
    <w:p>
      <w:pPr>
        <w:pStyle w:val="ListParagraph"/>
        <w:numPr>
          <w:ilvl w:val="0"/>
          <w:numId w:val="3"/>
        </w:numPr>
        <w:spacing w:after="60" w:line="260"/>
      </w:pPr>
      <w:r>
        <w:rPr>
          <w:b/>
          <w:bCs/>
          <w:i w:val="false"/>
          <w:iCs w:val="false"/>
          <w:color w:val="1F2937"/>
          <w:sz w:val="21"/>
          <w:szCs w:val="21"/>
        </w:rPr>
        <w:t xml:space="preserve">Tipo de contenedor/depósito: </w:t>
      </w:r>
      <w:r>
        <w:rPr>
          <w:b w:val="false"/>
          <w:bCs w:val="false"/>
          <w:i w:val="false"/>
          <w:iCs w:val="false"/>
          <w:color w:val="1F2937"/>
          <w:sz w:val="21"/>
          <w:szCs w:val="21"/>
        </w:rPr>
        <w:t xml:space="preserve">la app ofrece únicamente los envases compatibles con la sustancia (presión de transporte, estado y familia química; incompatibilidades de material según ADR y fichas de seguridad) y preselecciona el más adecuado. Muestra la detectabilidad y predice subproductos de reacción.</w:t>
      </w:r>
    </w:p>
    <w:p>
      <w:pPr>
        <w:pStyle w:val="ListParagraph"/>
        <w:numPr>
          <w:ilvl w:val="0"/>
          <w:numId w:val="3"/>
        </w:numPr>
        <w:spacing w:after="60" w:line="260"/>
      </w:pPr>
      <w:r>
        <w:rPr>
          <w:b/>
          <w:bCs/>
          <w:i w:val="false"/>
          <w:iCs w:val="false"/>
          <w:color w:val="1F2937"/>
          <w:sz w:val="21"/>
          <w:szCs w:val="21"/>
        </w:rPr>
        <w:t xml:space="preserve">Equipos y lecturas: </w:t>
      </w:r>
      <w:r>
        <w:rPr>
          <w:b w:val="false"/>
          <w:bCs w:val="false"/>
          <w:i w:val="false"/>
          <w:iCs w:val="false"/>
          <w:color w:val="1F2937"/>
          <w:sz w:val="21"/>
          <w:szCs w:val="21"/>
        </w:rPr>
        <w:t xml:space="preserve">dividido en dos subpasos. En 4.1 se estima el derrame o la fuga y la distancia al foco (opcional); en 4.2 se introducen las lecturas reales de cada celda, con la lectura esperada mostrada junto a cada una (verde directa, ámbar cruzada).</w:t>
      </w:r>
    </w:p>
    <w:p>
      <w:pPr>
        <w:pStyle w:val="ListParagraph"/>
        <w:numPr>
          <w:ilvl w:val="0"/>
          <w:numId w:val="3"/>
        </w:numPr>
        <w:spacing w:after="60" w:line="260"/>
      </w:pPr>
      <w:r>
        <w:rPr>
          <w:b/>
          <w:bCs/>
          <w:i w:val="false"/>
          <w:iCs w:val="false"/>
          <w:color w:val="1F2937"/>
          <w:sz w:val="21"/>
          <w:szCs w:val="21"/>
        </w:rPr>
        <w:t xml:space="preserve">Sector/Actividad del incidente (opcional): </w:t>
      </w:r>
      <w:r>
        <w:rPr>
          <w:b w:val="false"/>
          <w:bCs w:val="false"/>
          <w:i w:val="false"/>
          <w:iCs w:val="false"/>
          <w:color w:val="1F2937"/>
          <w:sz w:val="21"/>
          <w:szCs w:val="21"/>
        </w:rPr>
        <w:t xml:space="preserve">contexto del aviso para corroborar los gases. Si se deja sin seleccionar, se omite la corroboración.</w:t>
      </w:r>
    </w:p>
    <w:p>
      <w:pPr>
        <w:pStyle w:val="ListParagraph"/>
        <w:numPr>
          <w:ilvl w:val="0"/>
          <w:numId w:val="3"/>
        </w:numPr>
        <w:spacing w:after="60" w:line="260"/>
      </w:pPr>
      <w:r>
        <w:rPr>
          <w:b/>
          <w:bCs/>
          <w:i w:val="false"/>
          <w:iCs w:val="false"/>
          <w:color w:val="1F2937"/>
          <w:sz w:val="21"/>
          <w:szCs w:val="21"/>
        </w:rPr>
        <w:t xml:space="preserve">Modelo de dispersión: </w:t>
      </w:r>
      <w:r>
        <w:rPr>
          <w:b w:val="false"/>
          <w:bCs w:val="false"/>
          <w:i w:val="false"/>
          <w:iCs w:val="false"/>
          <w:color w:val="1F2937"/>
          <w:sz w:val="21"/>
          <w:szCs w:val="21"/>
        </w:rPr>
        <w:t xml:space="preserve">la app propone el modelo más adecuado (gas denso si la densidad es superior a la del aire) y genera la zonificación.</w:t>
      </w:r>
    </w:p>
    <w:p>
      <w:pPr>
        <w:spacing w:after="60"/>
      </w:pPr>
      <w:r>
        <w:t xml:space="preserve"/>
      </w:r>
    </w:p>
    <w:p>
      <w:pPr>
        <w:spacing w:after="100" w:line="264"/>
      </w:pPr>
      <w:r>
        <w:rPr>
          <w:b/>
          <w:bCs/>
          <w:i w:val="false"/>
          <w:iCs w:val="false"/>
          <w:color w:val="1F2937"/>
          <w:sz w:val="21"/>
          <w:szCs w:val="21"/>
        </w:rPr>
        <w:t xml:space="preserve">Menú de operación: </w:t>
      </w:r>
      <w:r>
        <w:rPr>
          <w:b w:val="false"/>
          <w:bCs w:val="false"/>
          <w:i w:val="false"/>
          <w:iCs w:val="false"/>
          <w:color w:val="1F2937"/>
          <w:sz w:val="21"/>
          <w:szCs w:val="21"/>
        </w:rPr>
        <w:t xml:space="preserve">desde el cuadro de mando se accede a Análisis (nivel, candidatos y dictamen), Zonas (zonificación táctica), Mapa (dispersión, planta y perfil), Meteo, Orden (GOM) y Registro, además de las fichas ERG de incendio y derrame.</w:t>
      </w:r>
    </w:p>
    <w:p>
      <w:pPr>
        <w:spacing w:after="80"/>
      </w:pPr>
      <w:r>
        <w:t xml:space="preserve"/>
      </w:r>
    </w:p>
    <w:p>
      <w:pPr>
        <w:pStyle w:val="Heading1"/>
        <w:spacing w:after="120" w:before="280"/>
      </w:pPr>
      <w:r>
        <w:rPr>
          <w:b/>
          <w:bCs/>
          <w:color w:val="1F4E79"/>
          <w:sz w:val="30"/>
          <w:szCs w:val="30"/>
        </w:rPr>
        <w:t xml:space="preserve">5. Identificación de gas y sensibilidad cruzada</w:t>
      </w:r>
    </w:p>
    <w:p>
      <w:pPr>
        <w:spacing w:after="100" w:line="264"/>
      </w:pPr>
      <w:r>
        <w:rPr>
          <w:b w:val="false"/>
          <w:bCs w:val="false"/>
          <w:i w:val="false"/>
          <w:iCs w:val="false"/>
          <w:color w:val="1F2937"/>
          <w:sz w:val="21"/>
          <w:szCs w:val="21"/>
        </w:rPr>
        <w:t xml:space="preserve">Las celdas electroquímicas responden parcialmente a gases distintos del objetivo. La app aplica una matriz de respuesta cruzada por fabricante para descontar las interferencias mutuas y estimar la sustancia real.</w:t>
      </w:r>
    </w:p>
    <w:p>
      <w:pPr>
        <w:pStyle w:val="Heading2"/>
        <w:spacing w:after="90" w:before="200"/>
      </w:pPr>
      <w:r>
        <w:rPr>
          <w:b/>
          <w:bCs/>
          <w:color w:val="44546A"/>
          <w:sz w:val="25"/>
          <w:szCs w:val="25"/>
        </w:rPr>
        <w:t xml:space="preserve">5.1 Corrección de interferencias (G8c)</w:t>
      </w:r>
    </w:p>
    <w:p>
      <w:pPr>
        <w:spacing w:after="100" w:line="264"/>
      </w:pPr>
      <w:r>
        <w:rPr>
          <w:b w:val="false"/>
          <w:bCs w:val="false"/>
          <w:i w:val="false"/>
          <w:iCs w:val="false"/>
          <w:color w:val="1F2937"/>
          <w:sz w:val="21"/>
          <w:szCs w:val="21"/>
        </w:rPr>
        <w:t xml:space="preserve">La corrección descuenta las interferencias conocidas entre celdas (por ejemplo, el H₂ que satura el canal de CO, o el H₂S que dispara el de HCN). Solo reduce falsos positivos: nunca crea detecciones desde celdas a cero. Los cálculos posteriores (probabilidad, pluma y caudal) usan las concentraciones reales corregidas. Los valores son orientativos y exigen contraste con bump test.</w:t>
      </w:r>
    </w:p>
    <w:p>
      <w:pPr>
        <w:pStyle w:val="Heading2"/>
        <w:spacing w:after="90" w:before="200"/>
      </w:pPr>
      <w:r>
        <w:rPr>
          <w:b/>
          <w:bCs/>
          <w:color w:val="44546A"/>
          <w:sz w:val="25"/>
          <w:szCs w:val="25"/>
        </w:rPr>
        <w:t xml:space="preserve">5.2 Concentración cuando la medición es cruzada</w:t>
      </w:r>
    </w:p>
    <w:p>
      <w:pPr>
        <w:spacing w:after="100" w:line="264"/>
      </w:pPr>
      <w:r>
        <w:rPr>
          <w:b w:val="false"/>
          <w:bCs w:val="false"/>
          <w:i w:val="false"/>
          <w:iCs w:val="false"/>
          <w:color w:val="1F2937"/>
          <w:sz w:val="21"/>
          <w:szCs w:val="21"/>
        </w:rPr>
        <w:t xml:space="preserve">Cuando la sustancia se identifica por ONU pero no hay celda directa para ella, la lectura procede de otra celda que responde de forma cruzada. En ese caso la concentración de la sustancia se obtiene dividiendo la lectura por el ratio de interferencia de la tabla:</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EF2F7" w:val="clear"/>
            <w:tcMar>
              <w:top w:type="dxa" w:w="120"/>
              <w:left w:type="dxa" w:w="160"/>
              <w:bottom w:type="dxa" w:w="120"/>
              <w:right w:type="dxa" w:w="160"/>
            </w:tcMar>
          </w:tcPr>
          <w:p>
            <w:pPr>
              <w:spacing w:after="40" w:line="250"/>
            </w:pPr>
            <w:r>
              <w:rPr>
                <w:b/>
                <w:bCs/>
                <w:i w:val="false"/>
                <w:iCs w:val="false"/>
                <w:color w:val="1F4E79"/>
                <w:sz w:val="20"/>
                <w:szCs w:val="20"/>
              </w:rPr>
              <w:t xml:space="preserve">[sustancia] = lectura de la celda ÷ ratio de sensibilidad cruzada</w:t>
            </w:r>
          </w:p>
        </w:tc>
      </w:tr>
    </w:tbl>
    <w:p>
      <w:pPr>
        <w:spacing w:after="60" w:line="264"/>
      </w:pPr>
      <w:r>
        <w:rPr>
          <w:b w:val="false"/>
          <w:bCs w:val="false"/>
          <w:i w:val="false"/>
          <w:iCs w:val="false"/>
          <w:color w:val="1F2937"/>
          <w:sz w:val="21"/>
          <w:szCs w:val="21"/>
        </w:rPr>
        <w:t xml:space="preserve">Se toma el máximo entre las celdas que respondan. Este criterio es idéntico en el indicador del asistente y en la pantalla de Análisis, de modo que ambos muestran siempre el mismo valor, que es la concentración real de la sustancia identificada y no la lectura bruta de una celda que responde con otra sensibilidad.</w:t>
      </w:r>
    </w:p>
    <w:tbl>
      <w:tblPr>
        <w:tblW w:type="dxa" w:w="9360"/>
        <w:tblBorders>
          <w:top w:val="single" w:color="44546A" w:sz="6"/>
          <w:left w:val="single" w:color="44546A" w:sz="18"/>
          <w:bottom w:val="single" w:color="44546A" w:sz="6"/>
          <w:right w:val="single" w:color="44546A" w:sz="6"/>
          <w:insideH w:val="none"/>
          <w:insideV w:val="none"/>
        </w:tblBorders>
      </w:tblPr>
      <w:tblGrid>
        <w:gridCol w:w="9360"/>
      </w:tblGrid>
      <w:tr>
        <w:tc>
          <w:tcPr>
            <w:tcW w:type="dxa" w:w="9360"/>
            <w:shd w:fill="F8FAFC" w:val="clear"/>
            <w:tcMar>
              <w:top w:type="dxa" w:w="120"/>
              <w:left w:type="dxa" w:w="160"/>
              <w:bottom w:type="dxa" w:w="120"/>
              <w:right w:type="dxa" w:w="160"/>
            </w:tcMar>
          </w:tcPr>
          <w:p>
            <w:pPr>
              <w:spacing w:after="60"/>
            </w:pPr>
            <w:r>
              <w:rPr>
                <w:b/>
                <w:bCs/>
                <w:color w:val="44546A"/>
                <w:sz w:val="21"/>
                <w:szCs w:val="21"/>
              </w:rPr>
              <w:t xml:space="preserve">Ejemplo</w:t>
            </w:r>
          </w:p>
          <w:p>
            <w:pPr>
              <w:spacing w:after="40" w:line="250"/>
            </w:pPr>
            <w:r>
              <w:rPr>
                <w:b w:val="false"/>
                <w:bCs w:val="false"/>
                <w:i w:val="false"/>
                <w:iCs w:val="false"/>
                <w:color w:val="1F2937"/>
                <w:sz w:val="20"/>
                <w:szCs w:val="20"/>
              </w:rPr>
              <w:t xml:space="preserve">El Cl₂ dispara fuerte la celda de gases ácidos (ratio 4,4). Una lectura de 132 ppm en esa celda corresponde a 132 ÷ 4,4 = 30 ppm de Cl₂. La app muestra 30 ppm, no 132.</w:t>
            </w:r>
          </w:p>
        </w:tc>
      </w:tr>
    </w:tbl>
    <w:p>
      <w:pPr>
        <w:pStyle w:val="Heading2"/>
        <w:spacing w:after="90" w:before="200"/>
      </w:pPr>
      <w:r>
        <w:rPr>
          <w:b/>
          <w:bCs/>
          <w:color w:val="44546A"/>
          <w:sz w:val="25"/>
          <w:szCs w:val="25"/>
        </w:rPr>
        <w:t xml:space="preserve">5.3 Salvaguardas de seguridad</w:t>
      </w:r>
    </w:p>
    <w:p>
      <w:pPr>
        <w:pStyle w:val="ListParagraph"/>
        <w:numPr>
          <w:ilvl w:val="0"/>
          <w:numId w:val="2"/>
        </w:numPr>
        <w:spacing w:after="60" w:line="260"/>
      </w:pPr>
      <w:r>
        <w:rPr>
          <w:b w:val="false"/>
          <w:bCs w:val="false"/>
          <w:i w:val="false"/>
          <w:iCs w:val="false"/>
          <w:color w:val="1F2937"/>
          <w:sz w:val="21"/>
          <w:szCs w:val="21"/>
        </w:rPr>
        <w:t xml:space="preserve">La identificación documental por número ONU prevalece sobre la inferencia de firma: si el panel indica la sustancia, esa manda.</w:t>
      </w:r>
    </w:p>
    <w:p>
      <w:pPr>
        <w:pStyle w:val="ListParagraph"/>
        <w:numPr>
          <w:ilvl w:val="0"/>
          <w:numId w:val="2"/>
        </w:numPr>
        <w:spacing w:after="60" w:line="260"/>
      </w:pPr>
      <w:r>
        <w:rPr>
          <w:b w:val="false"/>
          <w:bCs w:val="false"/>
          <w:i w:val="false"/>
          <w:iCs w:val="false"/>
          <w:color w:val="1F2937"/>
          <w:sz w:val="21"/>
          <w:szCs w:val="21"/>
        </w:rPr>
        <w:t xml:space="preserve">Ante saturación o sobrecarga del sensor, se declara «concentración real desconocida» y se mantiene la hipótesis más desfavorable.</w:t>
      </w:r>
    </w:p>
    <w:p>
      <w:pPr>
        <w:pStyle w:val="ListParagraph"/>
        <w:numPr>
          <w:ilvl w:val="0"/>
          <w:numId w:val="2"/>
        </w:numPr>
        <w:spacing w:after="60" w:line="260"/>
      </w:pPr>
      <w:r>
        <w:rPr>
          <w:b w:val="false"/>
          <w:bCs w:val="false"/>
          <w:i w:val="false"/>
          <w:iCs w:val="false"/>
          <w:color w:val="1F2937"/>
          <w:sz w:val="21"/>
          <w:szCs w:val="21"/>
        </w:rPr>
        <w:t xml:space="preserve">El O₂ y el sensor de explosividad (MPS/% LEL) no se tratan como ppm de tóxico.</w:t>
      </w:r>
    </w:p>
    <w:p>
      <w:pPr>
        <w:spacing w:after="80"/>
      </w:pPr>
      <w:r>
        <w:t xml:space="preserve"/>
      </w:r>
    </w:p>
    <w:p>
      <w:pPr>
        <w:pStyle w:val="Heading1"/>
        <w:spacing w:after="120" w:before="280"/>
      </w:pPr>
      <w:r>
        <w:rPr>
          <w:b/>
          <w:bCs/>
          <w:color w:val="1F4E79"/>
          <w:sz w:val="30"/>
          <w:szCs w:val="30"/>
        </w:rPr>
        <w:t xml:space="preserve">6. Identificación por número ONU</w:t>
      </w:r>
    </w:p>
    <w:p>
      <w:pPr>
        <w:spacing w:after="100" w:line="264"/>
      </w:pPr>
      <w:r>
        <w:rPr>
          <w:b w:val="false"/>
          <w:bCs w:val="false"/>
          <w:i w:val="false"/>
          <w:iCs w:val="false"/>
          <w:color w:val="1F2937"/>
          <w:sz w:val="21"/>
          <w:szCs w:val="21"/>
        </w:rPr>
        <w:t xml:space="preserve">Al introducir el número ONU del panel naranja, la app identifica la sustancia, carga sus propiedades fisicoquímicas, umbrales AEGL, guía ERG y comportamiento, y prevalece sobre la inferencia por firma de sensores. La base contiene 77 sustancias.</w:t>
      </w:r>
    </w:p>
    <w:p>
      <w:pPr>
        <w:pStyle w:val="Heading2"/>
        <w:spacing w:after="90" w:before="200"/>
      </w:pPr>
      <w:r>
        <w:rPr>
          <w:b/>
          <w:bCs/>
          <w:color w:val="44546A"/>
          <w:sz w:val="25"/>
          <w:szCs w:val="25"/>
        </w:rPr>
        <w:t xml:space="preserve">6.1 UN 1300 — Sucedáneo de aguarrás / white spirit</w:t>
      </w:r>
    </w:p>
    <w:p>
      <w:pPr>
        <w:spacing w:after="100" w:line="264"/>
      </w:pPr>
      <w:r>
        <w:rPr>
          <w:b w:val="false"/>
          <w:bCs w:val="false"/>
          <w:i w:val="false"/>
          <w:iCs w:val="false"/>
          <w:color w:val="1F2937"/>
          <w:sz w:val="21"/>
          <w:szCs w:val="21"/>
        </w:rPr>
        <w:t xml:space="preserve">El UN 1300 se ha incorporado como ficha propia (antes se asignaba por error a «gasolina»). Es un líquido inflamable, mezcla de hidrocarburos del petróleo: Clase 3, guía ERG 128, medido por sensor MPS/% LEL, vapor más pesado que el aire que se acumula en cotas bajas, con riesgo de explosión de vapores y reacción con oxidantes fuertes. Se modela sobre el queroseno, el destilado más parecido.</w:t>
      </w:r>
    </w:p>
    <w:p>
      <w:pPr>
        <w:pStyle w:val="Heading2"/>
        <w:spacing w:after="90" w:before="200"/>
      </w:pPr>
      <w:r>
        <w:rPr>
          <w:b/>
          <w:bCs/>
          <w:color w:val="44546A"/>
          <w:sz w:val="25"/>
          <w:szCs w:val="25"/>
        </w:rPr>
        <w:t xml:space="preserve">6.2 Propiedades incorporadas por sustancia</w:t>
      </w:r>
    </w:p>
    <w:p>
      <w:pPr>
        <w:spacing w:after="100" w:line="264"/>
      </w:pPr>
      <w:r>
        <w:rPr>
          <w:b w:val="false"/>
          <w:bCs w:val="false"/>
          <w:i w:val="false"/>
          <w:iCs w:val="false"/>
          <w:color w:val="1F2937"/>
          <w:sz w:val="21"/>
          <w:szCs w:val="21"/>
        </w:rPr>
        <w:t xml:space="preserve">Cada ficha incluye masa molecular, densidad de vapor relativa, estado, umbrales AEGL-1/2/3, guía ERG, sensor principal, rango del sensor y sobrecarga, límites de inflamabilidad (para inflamables) y textos de actuación de incendio y derrame.</w:t>
      </w:r>
    </w:p>
    <w:p>
      <w:pPr>
        <w:spacing w:after="80"/>
      </w:pPr>
      <w:r>
        <w:t xml:space="preserve"/>
      </w:r>
    </w:p>
    <w:p>
      <w:pPr>
        <w:pStyle w:val="Heading1"/>
        <w:spacing w:after="120" w:before="280"/>
      </w:pPr>
      <w:r>
        <w:rPr>
          <w:b/>
          <w:bCs/>
          <w:color w:val="1F4E79"/>
          <w:sz w:val="30"/>
          <w:szCs w:val="30"/>
        </w:rPr>
        <w:t xml:space="preserve">7. Análisis: cuadro «Gas más probable»</w:t>
      </w:r>
    </w:p>
    <w:p>
      <w:pPr>
        <w:spacing w:after="100" w:line="264"/>
      </w:pPr>
      <w:r>
        <w:rPr>
          <w:b w:val="false"/>
          <w:bCs w:val="false"/>
          <w:i w:val="false"/>
          <w:iCs w:val="false"/>
          <w:color w:val="1F2937"/>
          <w:sz w:val="21"/>
          <w:szCs w:val="21"/>
        </w:rPr>
        <w:t xml:space="preserve">En la cabecera de la pantalla de Análisis, sobre los accesos a Zonificación, Orden inicial, Mapa y Registro, un cuadro gráfico resume de forma directamente interpretable por el mando:</w:t>
      </w:r>
    </w:p>
    <w:p>
      <w:pPr>
        <w:pStyle w:val="Heading2"/>
        <w:spacing w:after="90" w:before="200"/>
      </w:pPr>
      <w:r>
        <w:rPr>
          <w:b/>
          <w:bCs/>
          <w:color w:val="44546A"/>
          <w:sz w:val="25"/>
          <w:szCs w:val="25"/>
        </w:rPr>
        <w:t xml:space="preserve">7.1 Probabilidad por lectura</w:t>
      </w:r>
    </w:p>
    <w:p>
      <w:pPr>
        <w:spacing w:after="100" w:line="264"/>
      </w:pPr>
      <w:r>
        <w:rPr>
          <w:b w:val="false"/>
          <w:bCs w:val="false"/>
          <w:i w:val="false"/>
          <w:iCs w:val="false"/>
          <w:color w:val="1F2937"/>
          <w:sz w:val="21"/>
          <w:szCs w:val="21"/>
        </w:rPr>
        <w:t xml:space="preserve">Sin sector seleccionado, el título es «🎯 Gas más probable (por lectura)» y muestra los gases candidatos con su probabilidad por firma de sensores en barras horizontales (el más probable en azul).</w:t>
      </w:r>
    </w:p>
    <w:p>
      <w:pPr>
        <w:pStyle w:val="Heading2"/>
        <w:spacing w:after="90" w:before="200"/>
      </w:pPr>
      <w:r>
        <w:rPr>
          <w:b/>
          <w:bCs/>
          <w:color w:val="44546A"/>
          <w:sz w:val="25"/>
          <w:szCs w:val="25"/>
        </w:rPr>
        <w:t xml:space="preserve">7.2 Probabilidad por lectura y sector</w:t>
      </w:r>
    </w:p>
    <w:p>
      <w:pPr>
        <w:spacing w:after="100" w:line="264"/>
      </w:pPr>
      <w:r>
        <w:rPr>
          <w:b w:val="false"/>
          <w:bCs w:val="false"/>
          <w:i w:val="false"/>
          <w:iCs w:val="false"/>
          <w:color w:val="1F2937"/>
          <w:sz w:val="21"/>
          <w:szCs w:val="21"/>
        </w:rPr>
        <w:t xml:space="preserve">Al seleccionar un sector, el título cambia a «🎯 Gas más probable (por lectura y sector)» y la probabilidad se recalcula combinando la lectura con la expectativa del sector mediante un posterior bayesiano:</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EF2F7" w:val="clear"/>
            <w:tcMar>
              <w:top w:type="dxa" w:w="120"/>
              <w:left w:type="dxa" w:w="160"/>
              <w:bottom w:type="dxa" w:w="120"/>
              <w:right w:type="dxa" w:w="160"/>
            </w:tcMar>
          </w:tcPr>
          <w:p>
            <w:pPr>
              <w:spacing w:after="40" w:line="250"/>
            </w:pPr>
            <w:r>
              <w:rPr>
                <w:b/>
                <w:bCs/>
                <w:i w:val="false"/>
                <w:iCs w:val="false"/>
                <w:color w:val="1F4E79"/>
                <w:sz w:val="20"/>
                <w:szCs w:val="20"/>
              </w:rPr>
              <w:t xml:space="preserve">P(acierto) ∝ P(gas | lectura) · P(gas | sector)</w:t>
            </w:r>
            <w:r>
              <w:rPr>
                <w:b w:val="false"/>
                <w:bCs w:val="false"/>
                <w:i w:val="false"/>
                <w:iCs w:val="false"/>
                <w:color w:val="1F2937"/>
                <w:sz w:val="20"/>
                <w:szCs w:val="20"/>
              </w:rPr>
              <w:t xml:space="preserve">  (normalizado)</w:t>
            </w:r>
          </w:p>
        </w:tc>
      </w:tr>
    </w:tbl>
    <w:p>
      <w:pPr>
        <w:spacing w:after="60" w:line="264"/>
      </w:pPr>
      <w:r>
        <w:rPr>
          <w:b w:val="false"/>
          <w:bCs w:val="false"/>
          <w:i w:val="false"/>
          <w:iCs w:val="false"/>
          <w:color w:val="1F2937"/>
          <w:sz w:val="21"/>
          <w:szCs w:val="21"/>
        </w:rPr>
        <w:t xml:space="preserve">Los gases esperados o característicos del sector se marcan en verde y los atípicos en rojo; las barras se reordenan por la probabilidad combinada. Así, un gas muy leído pero atípico en el sector pierde peso, y uno esperado lo gana.</w:t>
      </w:r>
    </w:p>
    <w:p>
      <w:pPr>
        <w:pStyle w:val="Heading2"/>
        <w:spacing w:after="90" w:before="200"/>
      </w:pPr>
      <w:r>
        <w:rPr>
          <w:b/>
          <w:bCs/>
          <w:color w:val="44546A"/>
          <w:sz w:val="25"/>
          <w:szCs w:val="25"/>
        </w:rPr>
        <w:t xml:space="preserve">7.3 Coherencia con el sector y selección</w:t>
      </w:r>
    </w:p>
    <w:p>
      <w:pPr>
        <w:spacing w:after="100" w:line="264"/>
      </w:pPr>
      <w:r>
        <w:rPr>
          <w:b w:val="false"/>
          <w:bCs w:val="false"/>
          <w:i w:val="false"/>
          <w:iCs w:val="false"/>
          <w:color w:val="1F2937"/>
          <w:sz w:val="21"/>
          <w:szCs w:val="21"/>
        </w:rPr>
        <w:t xml:space="preserve">Bajo las barras, una franja de color indica la coherencia con el sector (verde coherente, ámbar parcial, rojo incoherente) con su porcentaje y los gases atípicos. Un desplegable permite elegir o cambiar el sector sin salir de la pantalla, ratificando la información al instante.</w:t>
      </w:r>
    </w:p>
    <w:p>
      <w:pPr>
        <w:spacing w:after="80"/>
      </w:pPr>
      <w:r>
        <w:t xml:space="preserve"/>
      </w:r>
    </w:p>
    <w:p>
      <w:pPr>
        <w:pStyle w:val="Heading1"/>
        <w:spacing w:after="120" w:before="280"/>
      </w:pPr>
      <w:r>
        <w:rPr>
          <w:b/>
          <w:bCs/>
          <w:color w:val="1F4E79"/>
          <w:sz w:val="30"/>
          <w:szCs w:val="30"/>
        </w:rPr>
        <w:t xml:space="preserve">8. Modelización de la pluma</w:t>
      </w:r>
    </w:p>
    <w:p>
      <w:pPr>
        <w:pStyle w:val="Heading2"/>
        <w:spacing w:after="90" w:before="200"/>
      </w:pPr>
      <w:r>
        <w:rPr>
          <w:b/>
          <w:bCs/>
          <w:color w:val="44546A"/>
          <w:sz w:val="25"/>
          <w:szCs w:val="25"/>
        </w:rPr>
        <w:t xml:space="preserve">8.1 Modelos disponibles</w:t>
      </w:r>
    </w:p>
    <w:p>
      <w:pPr>
        <w:pStyle w:val="ListParagraph"/>
        <w:numPr>
          <w:ilvl w:val="0"/>
          <w:numId w:val="2"/>
        </w:numPr>
        <w:spacing w:after="60" w:line="260"/>
      </w:pPr>
      <w:r>
        <w:rPr>
          <w:b/>
          <w:bCs/>
          <w:i w:val="false"/>
          <w:iCs w:val="false"/>
          <w:color w:val="1F2937"/>
          <w:sz w:val="21"/>
          <w:szCs w:val="21"/>
        </w:rPr>
        <w:t xml:space="preserve">Geométrico (orientativo): </w:t>
      </w:r>
      <w:r>
        <w:rPr>
          <w:b w:val="false"/>
          <w:bCs w:val="false"/>
          <w:i w:val="false"/>
          <w:iCs w:val="false"/>
          <w:color w:val="1F2937"/>
          <w:sz w:val="21"/>
          <w:szCs w:val="21"/>
        </w:rPr>
        <w:t xml:space="preserve">huella simple a partir de las distancias ERG escaladas.</w:t>
      </w:r>
    </w:p>
    <w:p>
      <w:pPr>
        <w:pStyle w:val="ListParagraph"/>
        <w:numPr>
          <w:ilvl w:val="0"/>
          <w:numId w:val="2"/>
        </w:numPr>
        <w:spacing w:after="60" w:line="260"/>
      </w:pPr>
      <w:r>
        <w:rPr>
          <w:b/>
          <w:bCs/>
          <w:i w:val="false"/>
          <w:iCs w:val="false"/>
          <w:color w:val="1F2937"/>
          <w:sz w:val="21"/>
          <w:szCs w:val="21"/>
        </w:rPr>
        <w:t xml:space="preserve">Gaussiano (Pasquill-Gifford + Briggs): </w:t>
      </w:r>
      <w:r>
        <w:rPr>
          <w:b w:val="false"/>
          <w:bCs w:val="false"/>
          <w:i w:val="false"/>
          <w:iCs w:val="false"/>
          <w:color w:val="1F2937"/>
          <w:sz w:val="21"/>
          <w:szCs w:val="21"/>
        </w:rPr>
        <w:t xml:space="preserve">pluma pasiva con coeficientes de dispersión por clase de estabilidad y rugosidad urbana o rural.</w:t>
      </w:r>
    </w:p>
    <w:p>
      <w:pPr>
        <w:pStyle w:val="ListParagraph"/>
        <w:numPr>
          <w:ilvl w:val="0"/>
          <w:numId w:val="2"/>
        </w:numPr>
        <w:spacing w:after="60" w:line="260"/>
      </w:pPr>
      <w:r>
        <w:rPr>
          <w:b/>
          <w:bCs/>
          <w:i w:val="false"/>
          <w:iCs w:val="false"/>
          <w:color w:val="1F2937"/>
          <w:sz w:val="21"/>
          <w:szCs w:val="21"/>
        </w:rPr>
        <w:t xml:space="preserve">Gas denso (calibrado CERES/ALOHA): </w:t>
      </w:r>
      <w:r>
        <w:rPr>
          <w:b w:val="false"/>
          <w:bCs w:val="false"/>
          <w:i w:val="false"/>
          <w:iCs w:val="false"/>
          <w:color w:val="1F2937"/>
          <w:sz w:val="21"/>
          <w:szCs w:val="21"/>
        </w:rPr>
        <w:t xml:space="preserve">para gases más pesados que el aire, parte de la distancia gaussiana y aplica un alargamiento del alcance a baja cota y un ensanchamiento transversal por slumping gravitacional.</w:t>
      </w:r>
    </w:p>
    <w:p>
      <w:pPr>
        <w:pStyle w:val="ListParagraph"/>
        <w:numPr>
          <w:ilvl w:val="0"/>
          <w:numId w:val="2"/>
        </w:numPr>
        <w:spacing w:after="60" w:line="260"/>
      </w:pPr>
      <w:r>
        <w:rPr>
          <w:b/>
          <w:bCs/>
          <w:i w:val="false"/>
          <w:iCs w:val="false"/>
          <w:color w:val="1F2937"/>
          <w:sz w:val="21"/>
          <w:szCs w:val="21"/>
        </w:rPr>
        <w:t xml:space="preserve">Dinámico de puffs con topografía: </w:t>
      </w:r>
      <w:r>
        <w:rPr>
          <w:b w:val="false"/>
          <w:bCs w:val="false"/>
          <w:i w:val="false"/>
          <w:iCs w:val="false"/>
          <w:color w:val="1F2937"/>
          <w:sz w:val="21"/>
          <w:szCs w:val="21"/>
        </w:rPr>
        <w:t xml:space="preserve">advección por viento y deriva gravitacional sobre el modelo del terreno.</w:t>
      </w:r>
    </w:p>
    <w:p>
      <w:pPr>
        <w:pStyle w:val="Heading2"/>
        <w:spacing w:after="90" w:before="200"/>
      </w:pPr>
      <w:r>
        <w:rPr>
          <w:b/>
          <w:bCs/>
          <w:color w:val="44546A"/>
          <w:sz w:val="25"/>
          <w:szCs w:val="25"/>
        </w:rPr>
        <w:t xml:space="preserve">8.2 Calibración a CERES/ALOHA</w:t>
      </w:r>
    </w:p>
    <w:p>
      <w:pPr>
        <w:spacing w:after="100" w:line="264"/>
      </w:pPr>
      <w:r>
        <w:rPr>
          <w:b w:val="false"/>
          <w:bCs w:val="false"/>
          <w:i w:val="false"/>
          <w:iCs w:val="false"/>
          <w:color w:val="1F2937"/>
          <w:sz w:val="21"/>
          <w:szCs w:val="21"/>
        </w:rPr>
        <w:t xml:space="preserve">El factor de gas denso se ha calibrado contra la familia de herramientas de gas pesado. Con el término fuente de referencia (cloro), el modelo reproduce las distancias de CERES dentro de un margen aproximado del ±6 % en las tres zonas y sigue a ALOHA de forma proporcional. El factor está acotado (gas poco denso ≈ ×1,6; muy denso, tope ×4).</w:t>
      </w:r>
    </w:p>
    <w:tbl>
      <w:tblPr>
        <w:tblW w:type="dxa" w:w="9360"/>
        <w:tblBorders>
          <w:top w:val="single" w:color="92400E" w:sz="6"/>
          <w:left w:val="single" w:color="92400E" w:sz="18"/>
          <w:bottom w:val="single" w:color="92400E" w:sz="6"/>
          <w:right w:val="single" w:color="92400E" w:sz="6"/>
          <w:insideH w:val="none"/>
          <w:insideV w:val="none"/>
        </w:tblBorders>
      </w:tblPr>
      <w:tblGrid>
        <w:gridCol w:w="9360"/>
      </w:tblGrid>
      <w:tr>
        <w:tc>
          <w:tcPr>
            <w:tcW w:type="dxa" w:w="9360"/>
            <w:shd w:fill="FFFBEB" w:val="clear"/>
            <w:tcMar>
              <w:top w:type="dxa" w:w="120"/>
              <w:left w:type="dxa" w:w="160"/>
              <w:bottom w:type="dxa" w:w="120"/>
              <w:right w:type="dxa" w:w="160"/>
            </w:tcMar>
          </w:tcPr>
          <w:p>
            <w:pPr>
              <w:spacing w:after="60"/>
            </w:pPr>
            <w:r>
              <w:rPr>
                <w:b/>
                <w:bCs/>
                <w:color w:val="92400E"/>
                <w:sz w:val="21"/>
                <w:szCs w:val="21"/>
              </w:rPr>
              <w:t xml:space="preserve">Nota metodológica</w:t>
            </w:r>
          </w:p>
          <w:p>
            <w:pPr>
              <w:spacing w:after="40" w:line="250"/>
            </w:pPr>
            <w:r>
              <w:rPr>
                <w:b w:val="false"/>
                <w:bCs w:val="false"/>
                <w:i w:val="false"/>
                <w:iCs w:val="false"/>
                <w:color w:val="1F2937"/>
                <w:sz w:val="20"/>
                <w:szCs w:val="20"/>
              </w:rPr>
              <w:t xml:space="preserve">La calibración está anclada al cloro (validada contra dos términos fuente y tres niveles de concentración). Es una corrección orientativa y trazable; el cálculo riguroso corresponde a ALOHA/DEGADIS (puede importarse su huella). Conviene contrastarla con otros gases pesados.</w:t>
            </w:r>
          </w:p>
        </w:tc>
      </w:tr>
    </w:tbl>
    <w:p>
      <w:pPr>
        <w:pStyle w:val="Heading2"/>
        <w:spacing w:after="90" w:before="200"/>
      </w:pPr>
      <w:r>
        <w:rPr>
          <w:b/>
          <w:bCs/>
          <w:color w:val="44546A"/>
          <w:sz w:val="25"/>
          <w:szCs w:val="25"/>
        </w:rPr>
        <w:t xml:space="preserve">8.3 Vista de planta y perfil por zonas</w:t>
      </w:r>
    </w:p>
    <w:p>
      <w:pPr>
        <w:spacing w:after="100" w:line="264"/>
      </w:pPr>
      <w:r>
        <w:rPr>
          <w:b w:val="false"/>
          <w:bCs w:val="false"/>
          <w:i w:val="false"/>
          <w:iCs w:val="false"/>
          <w:color w:val="1F2937"/>
          <w:sz w:val="21"/>
          <w:szCs w:val="21"/>
        </w:rPr>
        <w:t xml:space="preserve">Ambas vistas representan las tres zonas AEGL como contornos anidados en color, al estilo de CERES/ALOHA:</w:t>
      </w:r>
    </w:p>
    <w:p>
      <w:pPr>
        <w:pStyle w:val="ListParagraph"/>
        <w:numPr>
          <w:ilvl w:val="0"/>
          <w:numId w:val="2"/>
        </w:numPr>
        <w:spacing w:after="60" w:line="260"/>
      </w:pPr>
      <w:r>
        <w:rPr>
          <w:b/>
          <w:bCs/>
          <w:i w:val="false"/>
          <w:iCs w:val="false"/>
          <w:color w:val="B91C1C"/>
          <w:sz w:val="21"/>
          <w:szCs w:val="21"/>
        </w:rPr>
        <w:t xml:space="preserve">Caliente (AEGL-3): </w:t>
      </w:r>
      <w:r>
        <w:rPr>
          <w:b w:val="false"/>
          <w:bCs w:val="false"/>
          <w:i w:val="false"/>
          <w:iCs w:val="false"/>
          <w:color w:val="1F2937"/>
          <w:sz w:val="21"/>
          <w:szCs w:val="21"/>
        </w:rPr>
        <w:t xml:space="preserve">la interior, más corta y estrecha.</w:t>
      </w:r>
    </w:p>
    <w:p>
      <w:pPr>
        <w:pStyle w:val="ListParagraph"/>
        <w:numPr>
          <w:ilvl w:val="0"/>
          <w:numId w:val="2"/>
        </w:numPr>
        <w:spacing w:after="60" w:line="260"/>
      </w:pPr>
      <w:r>
        <w:rPr>
          <w:b/>
          <w:bCs/>
          <w:i w:val="false"/>
          <w:iCs w:val="false"/>
          <w:color w:val="92400E"/>
          <w:sz w:val="21"/>
          <w:szCs w:val="21"/>
        </w:rPr>
        <w:t xml:space="preserve">Templada (AEGL-2): </w:t>
      </w:r>
      <w:r>
        <w:rPr>
          <w:b w:val="false"/>
          <w:bCs w:val="false"/>
          <w:i w:val="false"/>
          <w:iCs w:val="false"/>
          <w:color w:val="1F2937"/>
          <w:sz w:val="21"/>
          <w:szCs w:val="21"/>
        </w:rPr>
        <w:t xml:space="preserve">intermedia.</w:t>
      </w:r>
    </w:p>
    <w:p>
      <w:pPr>
        <w:pStyle w:val="ListParagraph"/>
        <w:numPr>
          <w:ilvl w:val="0"/>
          <w:numId w:val="2"/>
        </w:numPr>
        <w:spacing w:after="60" w:line="260"/>
      </w:pPr>
      <w:r>
        <w:rPr>
          <w:b/>
          <w:bCs/>
          <w:i w:val="false"/>
          <w:iCs w:val="false"/>
          <w:color w:val="A16207"/>
          <w:sz w:val="21"/>
          <w:szCs w:val="21"/>
        </w:rPr>
        <w:t xml:space="preserve">Fría (AEGL-1): </w:t>
      </w:r>
      <w:r>
        <w:rPr>
          <w:b w:val="false"/>
          <w:bCs w:val="false"/>
          <w:i w:val="false"/>
          <w:iCs w:val="false"/>
          <w:color w:val="1F2937"/>
          <w:sz w:val="21"/>
          <w:szCs w:val="21"/>
        </w:rPr>
        <w:t xml:space="preserve">la exterior, más larga y ancha.</w:t>
      </w:r>
    </w:p>
    <w:p>
      <w:pPr>
        <w:spacing w:after="60" w:line="264"/>
      </w:pPr>
      <w:r>
        <w:rPr>
          <w:b w:val="false"/>
          <w:bCs w:val="false"/>
          <w:i w:val="false"/>
          <w:iCs w:val="false"/>
          <w:color w:val="1F2937"/>
          <w:sz w:val="21"/>
          <w:szCs w:val="21"/>
        </w:rPr>
        <w:t xml:space="preserve">En la planta cada zona se ensancha desde el foco y se cierra en punta a su alcance a sotavento. En el perfil (alzado), cada zona sigue la envolvente vertical y desciende al suelo a su alcance, mostrando cómo el gas se mantiene a baja cota y cae conforme avanza. La forma emplea una curva de gota redondeada.</w:t>
      </w:r>
    </w:p>
    <w:p>
      <w:pPr>
        <w:pStyle w:val="Heading2"/>
        <w:spacing w:after="90" w:before="200"/>
      </w:pPr>
      <w:r>
        <w:rPr>
          <w:b/>
          <w:bCs/>
          <w:color w:val="44546A"/>
          <w:sz w:val="25"/>
          <w:szCs w:val="25"/>
        </w:rPr>
        <w:t xml:space="preserve">8.4 Deposición y lavado (deplección)</w:t>
      </w:r>
    </w:p>
    <w:p>
      <w:pPr>
        <w:spacing w:after="100" w:line="264"/>
      </w:pPr>
      <w:r>
        <w:rPr>
          <w:b w:val="false"/>
          <w:bCs w:val="false"/>
          <w:i w:val="false"/>
          <w:iCs w:val="false"/>
          <w:color w:val="1F2937"/>
          <w:sz w:val="21"/>
          <w:szCs w:val="21"/>
        </w:rPr>
        <w:t xml:space="preserve">Un interruptor opcional activa la deposición seca y el lavado por lluvia, que acortan las distancias. Apagado es el criterio conservador (como ALOHA). La lluvia se autorrellena desde la meteorología.</w:t>
      </w:r>
    </w:p>
    <w:p>
      <w:pPr>
        <w:pStyle w:val="Heading2"/>
        <w:spacing w:after="90" w:before="200"/>
      </w:pPr>
      <w:r>
        <w:rPr>
          <w:b/>
          <w:bCs/>
          <w:color w:val="44546A"/>
          <w:sz w:val="25"/>
          <w:szCs w:val="25"/>
        </w:rPr>
        <w:t xml:space="preserve">8.5 Influencia del terreno y fase de jet</w:t>
      </w:r>
    </w:p>
    <w:p>
      <w:pPr>
        <w:spacing w:after="100" w:line="264"/>
      </w:pPr>
      <w:r>
        <w:rPr>
          <w:b w:val="false"/>
          <w:bCs w:val="false"/>
          <w:i w:val="false"/>
          <w:iCs w:val="false"/>
          <w:color w:val="1F2937"/>
          <w:sz w:val="21"/>
          <w:szCs w:val="21"/>
        </w:rPr>
        <w:t xml:space="preserve">Con modelo de terreno cargado, un gas denso sigue el relieve: se estanca y ensancha en las depresiones y se estrecha al remontar elevaciones. En fugas a presión, una fase de jet inicial impulsa el gas antes de que domine la dispersión pasiva por densidad.</w:t>
      </w:r>
    </w:p>
    <w:p>
      <w:pPr>
        <w:spacing w:after="80"/>
      </w:pPr>
      <w:r>
        <w:t xml:space="preserve"/>
      </w:r>
    </w:p>
    <w:p>
      <w:pPr>
        <w:pStyle w:val="Heading1"/>
        <w:spacing w:after="120" w:before="280"/>
      </w:pPr>
      <w:r>
        <w:rPr>
          <w:b/>
          <w:bCs/>
          <w:color w:val="1F4E79"/>
          <w:sz w:val="30"/>
          <w:szCs w:val="30"/>
        </w:rPr>
        <w:t xml:space="preserve">9. Zonificación y niveles de riesgo</w:t>
      </w:r>
    </w:p>
    <w:p>
      <w:pPr>
        <w:spacing w:after="100" w:line="264"/>
      </w:pPr>
      <w:r>
        <w:rPr>
          <w:b w:val="false"/>
          <w:bCs w:val="false"/>
          <w:i w:val="false"/>
          <w:iCs w:val="false"/>
          <w:color w:val="1F2937"/>
          <w:sz w:val="21"/>
          <w:szCs w:val="21"/>
        </w:rPr>
        <w:t xml:space="preserve">La zonificación combina los umbrales EPA AEGL (caliente/templada/fría) con el anclaje normativo ERG 2024 (aislamiento inicial y acción protectora a sotavento). El nivel de riesgo se asigna según la concentración frente a los umbrales de la sustancia.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400"/>
        <w:gridCol w:w="3200"/>
        <w:gridCol w:w="4760"/>
      </w:tblGrid>
      <w:tr>
        <w:trPr>
          <w:tblHeader/>
        </w:trPr>
        <w:tc>
          <w:tcPr>
            <w:tcW w:type="dxa" w:w="1400"/>
            <w:shd w:fill="1F4E79" w:val="clear"/>
            <w:tcMar>
              <w:top w:type="dxa" w:w="60"/>
              <w:left w:type="dxa" w:w="90"/>
              <w:bottom w:type="dxa" w:w="60"/>
              <w:right w:type="dxa" w:w="90"/>
            </w:tcMar>
          </w:tcPr>
          <w:p>
            <w:r>
              <w:rPr>
                <w:b/>
                <w:bCs/>
                <w:color w:val="FFFFFF"/>
                <w:sz w:val="19"/>
                <w:szCs w:val="19"/>
              </w:rPr>
              <w:t xml:space="preserve">Nivel</w:t>
            </w:r>
          </w:p>
        </w:tc>
        <w:tc>
          <w:tcPr>
            <w:tcW w:type="dxa" w:w="3200"/>
            <w:shd w:fill="1F4E79" w:val="clear"/>
            <w:tcMar>
              <w:top w:type="dxa" w:w="60"/>
              <w:left w:type="dxa" w:w="90"/>
              <w:bottom w:type="dxa" w:w="60"/>
              <w:right w:type="dxa" w:w="90"/>
            </w:tcMar>
          </w:tcPr>
          <w:p>
            <w:r>
              <w:rPr>
                <w:b/>
                <w:bCs/>
                <w:color w:val="FFFFFF"/>
                <w:sz w:val="19"/>
                <w:szCs w:val="19"/>
              </w:rPr>
              <w:t xml:space="preserve">Significado</w:t>
            </w:r>
          </w:p>
        </w:tc>
        <w:tc>
          <w:tcPr>
            <w:tcW w:type="dxa" w:w="4760"/>
            <w:shd w:fill="1F4E79" w:val="clear"/>
            <w:tcMar>
              <w:top w:type="dxa" w:w="60"/>
              <w:left w:type="dxa" w:w="90"/>
              <w:bottom w:type="dxa" w:w="60"/>
              <w:right w:type="dxa" w:w="90"/>
            </w:tcMar>
          </w:tcPr>
          <w:p>
            <w:r>
              <w:rPr>
                <w:b/>
                <w:bCs/>
                <w:color w:val="FFFFFF"/>
                <w:sz w:val="19"/>
                <w:szCs w:val="19"/>
              </w:rPr>
              <w:t xml:space="preserve">Criterio orientativo</w:t>
            </w:r>
          </w:p>
        </w:tc>
      </w:tr>
      <w:tr>
        <w:tc>
          <w:tcPr>
            <w:tcW w:type="dxa" w:w="1400"/>
            <w:shd w:fill="FFFFFF" w:val="clear"/>
            <w:tcMar>
              <w:top w:type="dxa" w:w="50"/>
              <w:left w:type="dxa" w:w="90"/>
              <w:bottom w:type="dxa" w:w="50"/>
              <w:right w:type="dxa" w:w="90"/>
            </w:tcMar>
          </w:tcPr>
          <w:p>
            <w:r>
              <w:rPr>
                <w:color w:val="1F2937"/>
                <w:sz w:val="18"/>
                <w:szCs w:val="18"/>
              </w:rPr>
              <w:t xml:space="preserve">NI</w:t>
            </w:r>
          </w:p>
        </w:tc>
        <w:tc>
          <w:tcPr>
            <w:tcW w:type="dxa" w:w="3200"/>
            <w:shd w:fill="FFFFFF" w:val="clear"/>
            <w:tcMar>
              <w:top w:type="dxa" w:w="50"/>
              <w:left w:type="dxa" w:w="90"/>
              <w:bottom w:type="dxa" w:w="50"/>
              <w:right w:type="dxa" w:w="90"/>
            </w:tcMar>
          </w:tcPr>
          <w:p>
            <w:r>
              <w:rPr>
                <w:color w:val="1F2937"/>
                <w:sz w:val="18"/>
                <w:szCs w:val="18"/>
              </w:rPr>
              <w:t xml:space="preserve">Bajo</w:t>
            </w:r>
          </w:p>
        </w:tc>
        <w:tc>
          <w:tcPr>
            <w:tcW w:type="dxa" w:w="4760"/>
            <w:shd w:fill="FFFFFF" w:val="clear"/>
            <w:tcMar>
              <w:top w:type="dxa" w:w="50"/>
              <w:left w:type="dxa" w:w="90"/>
              <w:bottom w:type="dxa" w:w="50"/>
              <w:right w:type="dxa" w:w="90"/>
            </w:tcMar>
          </w:tcPr>
          <w:p>
            <w:r>
              <w:rPr>
                <w:color w:val="1F2937"/>
                <w:sz w:val="18"/>
                <w:szCs w:val="18"/>
              </w:rPr>
              <w:t xml:space="preserve">Por debajo de AEGL-1; molestias leves.</w:t>
            </w:r>
          </w:p>
        </w:tc>
      </w:tr>
      <w:tr>
        <w:tc>
          <w:tcPr>
            <w:tcW w:type="dxa" w:w="1400"/>
            <w:shd w:fill="F8FAFC" w:val="clear"/>
            <w:tcMar>
              <w:top w:type="dxa" w:w="50"/>
              <w:left w:type="dxa" w:w="90"/>
              <w:bottom w:type="dxa" w:w="50"/>
              <w:right w:type="dxa" w:w="90"/>
            </w:tcMar>
          </w:tcPr>
          <w:p>
            <w:r>
              <w:rPr>
                <w:color w:val="1F2937"/>
                <w:sz w:val="18"/>
                <w:szCs w:val="18"/>
              </w:rPr>
              <w:t xml:space="preserve">NII</w:t>
            </w:r>
          </w:p>
        </w:tc>
        <w:tc>
          <w:tcPr>
            <w:tcW w:type="dxa" w:w="3200"/>
            <w:shd w:fill="F8FAFC" w:val="clear"/>
            <w:tcMar>
              <w:top w:type="dxa" w:w="50"/>
              <w:left w:type="dxa" w:w="90"/>
              <w:bottom w:type="dxa" w:w="50"/>
              <w:right w:type="dxa" w:w="90"/>
            </w:tcMar>
          </w:tcPr>
          <w:p>
            <w:r>
              <w:rPr>
                <w:color w:val="1F2937"/>
                <w:sz w:val="18"/>
                <w:szCs w:val="18"/>
              </w:rPr>
              <w:t xml:space="preserve">Medio</w:t>
            </w:r>
          </w:p>
        </w:tc>
        <w:tc>
          <w:tcPr>
            <w:tcW w:type="dxa" w:w="4760"/>
            <w:shd w:fill="F8FAFC" w:val="clear"/>
            <w:tcMar>
              <w:top w:type="dxa" w:w="50"/>
              <w:left w:type="dxa" w:w="90"/>
              <w:bottom w:type="dxa" w:w="50"/>
              <w:right w:type="dxa" w:w="90"/>
            </w:tcMar>
          </w:tcPr>
          <w:p>
            <w:r>
              <w:rPr>
                <w:color w:val="1F2937"/>
                <w:sz w:val="18"/>
                <w:szCs w:val="18"/>
              </w:rPr>
              <w:t xml:space="preserve">Entre AEGL-1 y AEGL-2; zona de exclusión.</w:t>
            </w:r>
          </w:p>
        </w:tc>
      </w:tr>
      <w:tr>
        <w:tc>
          <w:tcPr>
            <w:tcW w:type="dxa" w:w="1400"/>
            <w:shd w:fill="FFFFFF" w:val="clear"/>
            <w:tcMar>
              <w:top w:type="dxa" w:w="50"/>
              <w:left w:type="dxa" w:w="90"/>
              <w:bottom w:type="dxa" w:w="50"/>
              <w:right w:type="dxa" w:w="90"/>
            </w:tcMar>
          </w:tcPr>
          <w:p>
            <w:r>
              <w:rPr>
                <w:color w:val="1F2937"/>
                <w:sz w:val="18"/>
                <w:szCs w:val="18"/>
              </w:rPr>
              <w:t xml:space="preserve">NIII</w:t>
            </w:r>
          </w:p>
        </w:tc>
        <w:tc>
          <w:tcPr>
            <w:tcW w:type="dxa" w:w="3200"/>
            <w:shd w:fill="FFFFFF" w:val="clear"/>
            <w:tcMar>
              <w:top w:type="dxa" w:w="50"/>
              <w:left w:type="dxa" w:w="90"/>
              <w:bottom w:type="dxa" w:w="50"/>
              <w:right w:type="dxa" w:w="90"/>
            </w:tcMar>
          </w:tcPr>
          <w:p>
            <w:r>
              <w:rPr>
                <w:color w:val="1F2937"/>
                <w:sz w:val="18"/>
                <w:szCs w:val="18"/>
              </w:rPr>
              <w:t xml:space="preserve">Crítico</w:t>
            </w:r>
          </w:p>
        </w:tc>
        <w:tc>
          <w:tcPr>
            <w:tcW w:type="dxa" w:w="4760"/>
            <w:shd w:fill="FFFFFF" w:val="clear"/>
            <w:tcMar>
              <w:top w:type="dxa" w:w="50"/>
              <w:left w:type="dxa" w:w="90"/>
              <w:bottom w:type="dxa" w:w="50"/>
              <w:right w:type="dxa" w:w="90"/>
            </w:tcMar>
          </w:tcPr>
          <w:p>
            <w:r>
              <w:rPr>
                <w:color w:val="1F2937"/>
                <w:sz w:val="18"/>
                <w:szCs w:val="18"/>
              </w:rPr>
              <w:t xml:space="preserve">Igual o por encima de AEGL-3; riesgo de muerte.</w:t>
            </w:r>
          </w:p>
        </w:tc>
      </w:tr>
      <w:tr>
        <w:tc>
          <w:tcPr>
            <w:tcW w:type="dxa" w:w="1400"/>
            <w:shd w:fill="F8FAFC" w:val="clear"/>
            <w:tcMar>
              <w:top w:type="dxa" w:w="50"/>
              <w:left w:type="dxa" w:w="90"/>
              <w:bottom w:type="dxa" w:w="50"/>
              <w:right w:type="dxa" w:w="90"/>
            </w:tcMar>
          </w:tcPr>
          <w:p>
            <w:r>
              <w:rPr>
                <w:color w:val="1F2937"/>
                <w:sz w:val="18"/>
                <w:szCs w:val="18"/>
              </w:rPr>
              <w:t xml:space="preserve">NIII+</w:t>
            </w:r>
          </w:p>
        </w:tc>
        <w:tc>
          <w:tcPr>
            <w:tcW w:type="dxa" w:w="3200"/>
            <w:shd w:fill="F8FAFC" w:val="clear"/>
            <w:tcMar>
              <w:top w:type="dxa" w:w="50"/>
              <w:left w:type="dxa" w:w="90"/>
              <w:bottom w:type="dxa" w:w="50"/>
              <w:right w:type="dxa" w:w="90"/>
            </w:tcMar>
          </w:tcPr>
          <w:p>
            <w:r>
              <w:rPr>
                <w:color w:val="1F2937"/>
                <w:sz w:val="18"/>
                <w:szCs w:val="18"/>
              </w:rPr>
              <w:t xml:space="preserve">Crítico / sin confirmar</w:t>
            </w:r>
          </w:p>
        </w:tc>
        <w:tc>
          <w:tcPr>
            <w:tcW w:type="dxa" w:w="4760"/>
            <w:shd w:fill="F8FAFC" w:val="clear"/>
            <w:tcMar>
              <w:top w:type="dxa" w:w="50"/>
              <w:left w:type="dxa" w:w="90"/>
              <w:bottom w:type="dxa" w:w="50"/>
              <w:right w:type="dxa" w:w="90"/>
            </w:tcMar>
          </w:tcPr>
          <w:p>
            <w:r>
              <w:rPr>
                <w:color w:val="1F2937"/>
                <w:sz w:val="18"/>
                <w:szCs w:val="18"/>
              </w:rPr>
              <w:t xml:space="preserve">Saturación de sensor o máxima restricción.</w:t>
            </w:r>
          </w:p>
        </w:tc>
      </w:tr>
    </w:tbl>
    <w:p>
      <w:pPr>
        <w:spacing w:after="60"/>
      </w:pPr>
      <w:r>
        <w:t xml:space="preserve"/>
      </w:r>
    </w:p>
    <w:p>
      <w:pPr>
        <w:spacing w:after="100" w:line="264"/>
      </w:pPr>
      <w:r>
        <w:rPr>
          <w:b w:val="false"/>
          <w:bCs w:val="false"/>
          <w:i w:val="false"/>
          <w:iCs w:val="false"/>
          <w:color w:val="1F2937"/>
          <w:sz w:val="21"/>
          <w:szCs w:val="21"/>
        </w:rPr>
        <w:t xml:space="preserve">El dictamen de intervención operativa automático traduce el nivel en un plan de acción de mando: EPI mínimo obligatorio, distancias, y advertencias específicas (por ejemplo, sustancias que arden además de ser tóxicas).</w:t>
      </w:r>
    </w:p>
    <w:p>
      <w:pPr>
        <w:spacing w:after="80"/>
      </w:pPr>
      <w:r>
        <w:t xml:space="preserve"/>
      </w:r>
    </w:p>
    <w:p>
      <w:pPr>
        <w:pStyle w:val="Heading1"/>
        <w:spacing w:after="120" w:before="280"/>
      </w:pPr>
      <w:r>
        <w:rPr>
          <w:b/>
          <w:bCs/>
          <w:color w:val="1F4E79"/>
          <w:sz w:val="30"/>
          <w:szCs w:val="30"/>
        </w:rPr>
        <w:t xml:space="preserve">10. Orden inicial (GOM) y utilidades</w:t>
      </w:r>
    </w:p>
    <w:p>
      <w:pPr>
        <w:pStyle w:val="Heading2"/>
        <w:spacing w:after="90" w:before="200"/>
      </w:pPr>
      <w:r>
        <w:rPr>
          <w:b/>
          <w:bCs/>
          <w:color w:val="44546A"/>
          <w:sz w:val="25"/>
          <w:szCs w:val="25"/>
        </w:rPr>
        <w:t xml:space="preserve">10.1 Orden inicial de mando</w:t>
      </w:r>
    </w:p>
    <w:p>
      <w:pPr>
        <w:spacing w:after="100" w:line="264"/>
      </w:pPr>
      <w:r>
        <w:rPr>
          <w:b w:val="false"/>
          <w:bCs w:val="false"/>
          <w:i w:val="false"/>
          <w:iCs w:val="false"/>
          <w:color w:val="1F2937"/>
          <w:sz w:val="21"/>
          <w:szCs w:val="21"/>
        </w:rPr>
        <w:t xml:space="preserve">La pantalla de Orden Inicial genera un esqueleto autocompuesto para dictar o enviar: se elige la misión (rescate, confinar, taponar, evacuar, abatir, reconocer) y la sectorización funcional, y el resto se rellena con el análisis. Incluye recursos en intervención opcionales.</w:t>
      </w:r>
    </w:p>
    <w:p>
      <w:pPr>
        <w:pStyle w:val="Heading2"/>
        <w:spacing w:after="90" w:before="200"/>
      </w:pPr>
      <w:r>
        <w:rPr>
          <w:b/>
          <w:bCs/>
          <w:color w:val="44546A"/>
          <w:sz w:val="25"/>
          <w:szCs w:val="25"/>
        </w:rPr>
        <w:t xml:space="preserve">10.2 Estimación del derrame y de la concentración</w:t>
      </w:r>
    </w:p>
    <w:p>
      <w:pPr>
        <w:spacing w:after="100" w:line="264"/>
      </w:pPr>
      <w:r>
        <w:rPr>
          <w:b w:val="false"/>
          <w:bCs w:val="false"/>
          <w:i w:val="false"/>
          <w:iCs w:val="false"/>
          <w:color w:val="1F2937"/>
          <w:sz w:val="21"/>
          <w:szCs w:val="21"/>
        </w:rPr>
        <w:t xml:space="preserve">A partir del tamaño de fuga o charco y la distancia al foco, la app estima el caudal de emisión (por orificio a presión o por evaporación del charco según la presión de vapor real) y la concentración esperada, que alimenta la zonificación.</w:t>
      </w:r>
    </w:p>
    <w:p>
      <w:pPr>
        <w:pStyle w:val="Heading2"/>
        <w:spacing w:after="90" w:before="200"/>
      </w:pPr>
      <w:r>
        <w:rPr>
          <w:b/>
          <w:bCs/>
          <w:color w:val="44546A"/>
          <w:sz w:val="25"/>
          <w:szCs w:val="25"/>
        </w:rPr>
        <w:t xml:space="preserve">10.3 Registro, reanálisis y temporizador</w:t>
      </w:r>
    </w:p>
    <w:p>
      <w:pPr>
        <w:pStyle w:val="ListParagraph"/>
        <w:numPr>
          <w:ilvl w:val="0"/>
          <w:numId w:val="2"/>
        </w:numPr>
        <w:spacing w:after="60" w:line="260"/>
      </w:pPr>
      <w:r>
        <w:rPr>
          <w:b w:val="false"/>
          <w:bCs w:val="false"/>
          <w:i w:val="false"/>
          <w:iCs w:val="false"/>
          <w:color w:val="1F2937"/>
          <w:sz w:val="21"/>
          <w:szCs w:val="21"/>
        </w:rPr>
        <w:t xml:space="preserve">Registro de la intervención con todos los pasos y tiempos, exportable a texto o PDF.</w:t>
      </w:r>
    </w:p>
    <w:p>
      <w:pPr>
        <w:pStyle w:val="ListParagraph"/>
        <w:numPr>
          <w:ilvl w:val="0"/>
          <w:numId w:val="2"/>
        </w:numPr>
        <w:spacing w:after="60" w:line="260"/>
      </w:pPr>
      <w:r>
        <w:rPr>
          <w:b w:val="false"/>
          <w:bCs w:val="false"/>
          <w:i w:val="false"/>
          <w:iCs w:val="false"/>
          <w:color w:val="1F2937"/>
          <w:sz w:val="21"/>
          <w:szCs w:val="21"/>
        </w:rPr>
        <w:t xml:space="preserve">Reanálisis en un toque desde varias vías cuando cambian las lecturas o el contexto.</w:t>
      </w:r>
    </w:p>
    <w:p>
      <w:pPr>
        <w:pStyle w:val="ListParagraph"/>
        <w:numPr>
          <w:ilvl w:val="0"/>
          <w:numId w:val="2"/>
        </w:numPr>
        <w:spacing w:after="60" w:line="260"/>
      </w:pPr>
      <w:r>
        <w:rPr>
          <w:b w:val="false"/>
          <w:bCs w:val="false"/>
          <w:i w:val="false"/>
          <w:iCs w:val="false"/>
          <w:color w:val="1F2937"/>
          <w:sz w:val="21"/>
          <w:szCs w:val="21"/>
        </w:rPr>
        <w:t xml:space="preserve">Temporizador de reevaluación AEGL para recordar el contraste periódico.</w:t>
      </w:r>
    </w:p>
    <w:p>
      <w:pPr>
        <w:pStyle w:val="Heading2"/>
        <w:spacing w:after="90" w:before="200"/>
      </w:pPr>
      <w:r>
        <w:rPr>
          <w:b/>
          <w:bCs/>
          <w:color w:val="44546A"/>
          <w:sz w:val="25"/>
          <w:szCs w:val="25"/>
        </w:rPr>
        <w:t xml:space="preserve">10.4 Compartir, COP y meteorología</w:t>
      </w:r>
    </w:p>
    <w:p>
      <w:pPr>
        <w:spacing w:after="100" w:line="264"/>
      </w:pPr>
      <w:r>
        <w:rPr>
          <w:b w:val="false"/>
          <w:bCs w:val="false"/>
          <w:i w:val="false"/>
          <w:iCs w:val="false"/>
          <w:color w:val="1F2937"/>
          <w:sz w:val="21"/>
          <w:szCs w:val="21"/>
        </w:rPr>
        <w:t xml:space="preserve">La app permite compartir el dictamen (por ejemplo, por WhatsApp) y enlazar con el puesto de mando. La meteorología automática refresca el viento y las condiciones, y proyecta la evolución prevista de la pluma.</w:t>
      </w:r>
    </w:p>
    <w:p>
      <w:pPr>
        <w:spacing w:after="80"/>
      </w:pPr>
      <w:r>
        <w:t xml:space="preserve"/>
      </w:r>
    </w:p>
    <w:p>
      <w:pPr>
        <w:pStyle w:val="Heading1"/>
        <w:spacing w:after="120" w:before="280"/>
      </w:pPr>
      <w:r>
        <w:rPr>
          <w:b/>
          <w:bCs/>
          <w:color w:val="1F4E79"/>
          <w:sz w:val="30"/>
          <w:szCs w:val="30"/>
        </w:rPr>
        <w:t xml:space="preserve">11. Base de datos de sustancias</w:t>
      </w:r>
    </w:p>
    <w:p>
      <w:pPr>
        <w:spacing w:after="100" w:line="264"/>
      </w:pPr>
      <w:r>
        <w:rPr>
          <w:b w:val="false"/>
          <w:bCs w:val="false"/>
          <w:i w:val="false"/>
          <w:iCs w:val="false"/>
          <w:color w:val="1F2937"/>
          <w:sz w:val="21"/>
          <w:szCs w:val="21"/>
        </w:rPr>
        <w:t xml:space="preserve">La base contiene 77 sustancias, organizadas en tóxicos industriales de inhalación (TIH), inflamables detectados por el sensor MPS, y las mercancías peligrosas más frecuentes por carretera y ferrocarril. Cada sustancia lleva su número ONU, guía ERG, sensor principal, umbrales AEGL y comportamiento.</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EF2F7" w:val="clear"/>
            <w:tcMar>
              <w:top w:type="dxa" w:w="120"/>
              <w:left w:type="dxa" w:w="160"/>
              <w:bottom w:type="dxa" w:w="120"/>
              <w:right w:type="dxa" w:w="160"/>
            </w:tcMar>
          </w:tcPr>
          <w:p>
            <w:pPr>
              <w:spacing w:after="60"/>
            </w:pPr>
            <w:r>
              <w:rPr>
                <w:b/>
                <w:bCs/>
                <w:color w:val="1F4E79"/>
                <w:sz w:val="21"/>
                <w:szCs w:val="21"/>
              </w:rPr>
              <w:t xml:space="preserve">Ampliación y evaluación avanzada</w:t>
            </w:r>
          </w:p>
          <w:p>
            <w:pPr>
              <w:spacing w:after="40" w:line="250"/>
            </w:pPr>
            <w:r>
              <w:rPr>
                <w:b w:val="false"/>
                <w:bCs w:val="false"/>
                <w:i w:val="false"/>
                <w:iCs w:val="false"/>
                <w:color w:val="1F2937"/>
                <w:sz w:val="20"/>
                <w:szCs w:val="20"/>
              </w:rPr>
              <w:t xml:space="preserve">La arquitectura permite ampliar la base con nuevas familias (petroquímica, química básica) manteniendo el mismo esquema de ficha: propiedades, sensor, umbrales y textos de actuación.</w:t>
            </w:r>
          </w:p>
        </w:tc>
      </w:tr>
    </w:tbl>
    <w:p>
      <w:pPr>
        <w:spacing w:after="80"/>
      </w:pPr>
      <w:r>
        <w:t xml:space="preserve"/>
      </w:r>
    </w:p>
    <w:p>
      <w:pPr>
        <w:pStyle w:val="Heading1"/>
        <w:spacing w:after="120" w:before="280"/>
      </w:pPr>
      <w:r>
        <w:rPr>
          <w:b/>
          <w:bCs/>
          <w:color w:val="1F4E79"/>
          <w:sz w:val="30"/>
          <w:szCs w:val="30"/>
        </w:rPr>
        <w:t xml:space="preserve">12. Avisos y limitaciones</w:t>
      </w:r>
    </w:p>
    <w:p>
      <w:pPr>
        <w:pStyle w:val="ListParagraph"/>
        <w:numPr>
          <w:ilvl w:val="0"/>
          <w:numId w:val="2"/>
        </w:numPr>
        <w:spacing w:after="60" w:line="260"/>
      </w:pPr>
      <w:r>
        <w:rPr>
          <w:b/>
          <w:bCs/>
          <w:i w:val="false"/>
          <w:iCs w:val="false"/>
          <w:color w:val="1F2937"/>
          <w:sz w:val="21"/>
          <w:szCs w:val="21"/>
        </w:rPr>
        <w:t xml:space="preserve">Herramienta de apoyo. </w:t>
      </w:r>
      <w:r>
        <w:rPr>
          <w:b w:val="false"/>
          <w:bCs w:val="false"/>
          <w:i w:val="false"/>
          <w:iCs w:val="false"/>
          <w:color w:val="1F2937"/>
          <w:sz w:val="21"/>
          <w:szCs w:val="21"/>
        </w:rPr>
        <w:t xml:space="preserve">Ninguna salida sustituye la confirmación analítica de campo, el bump test de contraste ni el criterio del mando.</w:t>
      </w:r>
    </w:p>
    <w:p>
      <w:pPr>
        <w:pStyle w:val="ListParagraph"/>
        <w:numPr>
          <w:ilvl w:val="0"/>
          <w:numId w:val="2"/>
        </w:numPr>
        <w:spacing w:after="60" w:line="260"/>
      </w:pPr>
      <w:r>
        <w:rPr>
          <w:b/>
          <w:bCs/>
          <w:i w:val="false"/>
          <w:iCs w:val="false"/>
          <w:color w:val="1F2937"/>
          <w:sz w:val="21"/>
          <w:szCs w:val="21"/>
        </w:rPr>
        <w:t xml:space="preserve">Valores orientativos. </w:t>
      </w:r>
      <w:r>
        <w:rPr>
          <w:b w:val="false"/>
          <w:bCs w:val="false"/>
          <w:i w:val="false"/>
          <w:iCs w:val="false"/>
          <w:color w:val="1F2937"/>
          <w:sz w:val="21"/>
          <w:szCs w:val="21"/>
        </w:rPr>
        <w:t xml:space="preserve">Las concentraciones inferidas por sensibilidad cruzada, las estimaciones de caudal y las distancias de dispersión son aproximaciones acotadas y trazables, no medidas.</w:t>
      </w:r>
    </w:p>
    <w:p>
      <w:pPr>
        <w:pStyle w:val="ListParagraph"/>
        <w:numPr>
          <w:ilvl w:val="0"/>
          <w:numId w:val="2"/>
        </w:numPr>
        <w:spacing w:after="60" w:line="260"/>
      </w:pPr>
      <w:r>
        <w:rPr>
          <w:b/>
          <w:bCs/>
          <w:i w:val="false"/>
          <w:iCs w:val="false"/>
          <w:color w:val="1F2937"/>
          <w:sz w:val="21"/>
          <w:szCs w:val="21"/>
        </w:rPr>
        <w:t xml:space="preserve">Principio de máxima restricción. </w:t>
      </w:r>
      <w:r>
        <w:rPr>
          <w:b w:val="false"/>
          <w:bCs w:val="false"/>
          <w:i w:val="false"/>
          <w:iCs w:val="false"/>
          <w:color w:val="1F2937"/>
          <w:sz w:val="21"/>
          <w:szCs w:val="21"/>
        </w:rPr>
        <w:t xml:space="preserve">Ante incertidumbre o saturación de sensor, se adopta la hipótesis más desfavorable.</w:t>
      </w:r>
    </w:p>
    <w:p>
      <w:pPr>
        <w:pStyle w:val="ListParagraph"/>
        <w:numPr>
          <w:ilvl w:val="0"/>
          <w:numId w:val="2"/>
        </w:numPr>
        <w:spacing w:after="60" w:line="260"/>
      </w:pPr>
      <w:r>
        <w:rPr>
          <w:b/>
          <w:bCs/>
          <w:i w:val="false"/>
          <w:iCs w:val="false"/>
          <w:color w:val="1F2937"/>
          <w:sz w:val="21"/>
          <w:szCs w:val="21"/>
        </w:rPr>
        <w:t xml:space="preserve">Modelo calibrado a un químico de referencia. </w:t>
      </w:r>
      <w:r>
        <w:rPr>
          <w:b w:val="false"/>
          <w:bCs w:val="false"/>
          <w:i w:val="false"/>
          <w:iCs w:val="false"/>
          <w:color w:val="1F2937"/>
          <w:sz w:val="21"/>
          <w:szCs w:val="21"/>
        </w:rPr>
        <w:t xml:space="preserve">La calibración de gas denso está anclada al cloro; para otros gases pesados conviene contrastar con ALOHA/DEGADIS.</w:t>
      </w:r>
    </w:p>
    <w:p>
      <w:pPr>
        <w:spacing w:after="120"/>
      </w:pPr>
      <w:r>
        <w:t xml:space="preserve"/>
      </w:r>
    </w:p>
    <w:p>
      <w:pPr>
        <w:jc w:val="center"/>
      </w:pPr>
      <w:r>
        <w:rPr>
          <w:i/>
          <w:iCs/>
          <w:color w:val="44546A"/>
          <w:sz w:val="20"/>
          <w:szCs w:val="20"/>
        </w:rPr>
        <w:t xml:space="preserve">— Fin del manual —</w:t>
      </w:r>
    </w:p>
    <w:p>
      <w:pPr>
        <w:spacing w:before="60"/>
        <w:jc w:val="center"/>
      </w:pPr>
      <w:r>
        <w:rPr>
          <w:color w:val="94A3B8"/>
          <w:sz w:val="16"/>
          <w:szCs w:val="16"/>
        </w:rPr>
        <w:t xml:space="preserve">SITAC NBQ · Autor: Nabil Núñez · julio 2026</w:t>
      </w:r>
    </w:p>
    <w:sectPr>
      <w:footerReference w:type="default" r:id="rId7"/>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SITAC NBQ · Manual de usuario · </w:t>
    </w:r>
    <w:r>
      <w:rPr>
        <w:color w:val="94A3B8"/>
        <w:sz w:val="16"/>
        <w:szCs w:val="16"/>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SITAC NBQ</dc:title>
  <dc:creator>SITAC NBQ</dc:creator>
  <cp:lastModifiedBy>Un-named</cp:lastModifiedBy>
  <cp:revision>1</cp:revision>
  <dcterms:created xsi:type="dcterms:W3CDTF">2026-07-27T14:28:06.287Z</dcterms:created>
  <dcterms:modified xsi:type="dcterms:W3CDTF">2026-07-27T14:28:06.306Z</dcterms:modified>
</cp:coreProperties>
</file>

<file path=docProps/custom.xml><?xml version="1.0" encoding="utf-8"?>
<Properties xmlns="http://schemas.openxmlformats.org/officeDocument/2006/custom-properties" xmlns:vt="http://schemas.openxmlformats.org/officeDocument/2006/docPropsVTypes"/>
</file>