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b/>
          <w:bCs/>
          <w:color w:val="0B1F3A"/>
          <w:sz w:val="96"/>
          <w:szCs w:val="96"/>
        </w:rPr>
        <w:t xml:space="preserve">SITAC NBQ</w:t>
      </w:r>
    </w:p>
    <w:p>
      <w:pPr>
        <w:spacing w:after="200"/>
        <w:jc w:val="center"/>
      </w:pPr>
      <w:r>
        <w:rPr>
          <w:color w:val="0E6BA8"/>
          <w:sz w:val="32"/>
          <w:szCs w:val="32"/>
        </w:rPr>
        <w:t xml:space="preserve">Sistema Táctico de Apoyo a la Decisión</w:t>
      </w:r>
    </w:p>
    <w:p>
      <w:pPr>
        <w:spacing w:after="80"/>
        <w:jc w:val="center"/>
      </w:pPr>
      <w:r>
        <w:rPr>
          <w:color w:val="475569"/>
          <w:sz w:val="26"/>
          <w:szCs w:val="26"/>
        </w:rPr>
        <w:t xml:space="preserve">Intervención NBQ y Mercancías Peligrosas</w:t>
      </w:r>
    </w:p>
    <w:p>
      <w:pPr>
        <w:spacing w:after="0" w:before="1600"/>
        <w:jc w:val="center"/>
      </w:pPr>
      <w:r>
        <w:rPr>
          <w:b/>
          <w:bCs/>
          <w:color w:val="222222"/>
          <w:sz w:val="28"/>
          <w:szCs w:val="28"/>
        </w:rPr>
        <w:t xml:space="preserve">MANUAL DE USUARIO Y REFERENCIA TÉCNICA</w:t>
      </w:r>
    </w:p>
    <w:p>
      <w:pPr>
        <w:spacing w:before="120"/>
        <w:jc w:val="center"/>
      </w:pPr>
      <w:r>
        <w:rPr>
          <w:color w:val="475569"/>
          <w:sz w:val="20"/>
          <w:szCs w:val="20"/>
        </w:rPr>
        <w:t xml:space="preserve">Versión de aplicación · junio 2026</w:t>
      </w:r>
    </w:p>
    <w:p>
      <w:pPr>
        <w:spacing w:after="0" w:before="400"/>
        <w:jc w:val="center"/>
      </w:pPr>
      <w:r>
        <w:rPr>
          <w:b/>
          <w:bCs/>
          <w:color w:val="0B1F3A"/>
          <w:sz w:val="24"/>
          <w:szCs w:val="24"/>
        </w:rPr>
        <w:t xml:space="preserve">Autor y creador:  NABIL NÚÑEZ</w:t>
      </w:r>
    </w:p>
    <w:p>
      <w:pPr>
        <w:spacing w:before="60"/>
        <w:jc w:val="center"/>
      </w:pPr>
      <w:r>
        <w:rPr>
          <w:i/>
          <w:iCs/>
          <w:color w:val="475569"/>
          <w:sz w:val="18"/>
          <w:szCs w:val="18"/>
        </w:rPr>
        <w:t xml:space="preserve">© Todos los derechos reservados al autor</w:t>
      </w:r>
    </w:p>
    <w:p>
      <w:pPr>
        <w:spacing w:before="1800"/>
        <w:jc w:val="center"/>
      </w:pPr>
      <w:r>
        <w:rPr>
          <w:b/>
          <w:bCs/>
          <w:color w:val="B91C1C"/>
          <w:sz w:val="16"/>
          <w:szCs w:val="16"/>
        </w:rPr>
        <w:t xml:space="preserve">DOCUMENTO DE APOYO — NO SUSTITUYE LA CONFIRMACIÓN ANALÍTICA DE CAMPO,</w:t>
      </w:r>
    </w:p>
    <w:p>
      <w:pPr>
        <w:jc w:val="center"/>
      </w:pPr>
      <w:r>
        <w:rPr>
          <w:b/>
          <w:bCs/>
          <w:color w:val="B91C1C"/>
          <w:sz w:val="16"/>
          <w:szCs w:val="16"/>
        </w:rPr>
        <w:t xml:space="preserve">EL BUMP TEST DE CONTRASTE NI EL CRITERIO DEL MANDO</w:t>
      </w:r>
    </w:p>
    <w:p>
      <w:r>
        <w:br w:type="page"/>
      </w:r>
    </w:p>
    <w:p>
      <w:pPr>
        <w:pStyle w:val="Heading1"/>
      </w:pPr>
      <w:r>
        <w:t xml:space="preserve">Índice</w:t>
      </w:r>
    </w:p>
    <w:sdt>
      <w:sdtPr>
        <w:alias w:val="Tabla de contenido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Introducción y propósito</w:t>
      </w:r>
    </w:p>
    <w:p>
      <w:pPr>
        <w:spacing w:after="120"/>
      </w:pPr>
      <w:r>
        <w:t xml:space="preserve">SITAC NBQ es una aplicación web progresiva (PWA) de apoyo a la decisión para la intervención en emergencias con materias peligrosas y agentes NBQ. Funciona en smartphone, tablet o portátil de mando, y está diseñada para uso en campo, incluso sin cobertura tras la primera carga.</w:t>
      </w:r>
    </w:p>
    <w:p>
      <w:pPr>
        <w:spacing w:after="120"/>
      </w:pPr>
      <w:r>
        <w:t xml:space="preserve">La herramienta integra el ciclo de decisión en un flujo único: identificación del gas a partir de detectores con corrección de interferencias por sensibilidad cruzada, identificación documental por número ONU, análisis de cobertura del sensor (medición directa, cruzada o imposible), predicción de subproductos de reacción según el contenedor, asignación de nivel de riesgo según umbrales EPA AEGL, zonificación táctica con anclaje normativo ERG 2024, modelización de la pluma (geométrica, gaussiana, gas denso y dinámica con topografía), meteorología automática con refresco periódico, composición de la orden inicial de mando (GOM) y un conjunto de utilidades operativas (cuadro de mando, registro, compartición y enlace COP).</w:t>
      </w:r>
    </w:p>
    <w:p>
      <w:pPr>
        <w:spacing w:after="120"/>
      </w:pPr>
      <w:r>
        <w:t xml:space="preserve">La interfaz se organiza en pantallas separadas para uso táctil en campo y dispone de un asistente guiado de seis pasos (la meteorología se obtiene de forma automática, sin paso propio) para conducir la intervención desde la identificación hasta la orden.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1C1C" w:sz="1"/>
              <w:left w:val="single" w:color="B91C1C" w:sz="24"/>
              <w:bottom w:val="single" w:color="B91C1C" w:sz="1"/>
              <w:right w:val="single" w:color="B91C1C" w:sz="1"/>
            </w:tcBorders>
            <w:shd w:fill="EAF2F8" w:val="clear"/>
            <w:tcMar>
              <w:top w:type="dxa" w:w="120"/>
              <w:left w:type="dxa" w:w="160"/>
              <w:bottom w:type="dxa" w:w="120"/>
              <w:right w:type="dxa" w:w="160"/>
            </w:tcMar>
          </w:tcPr>
          <w:p>
            <w:pPr>
              <w:spacing w:after="60"/>
            </w:pPr>
            <w:r>
              <w:rPr>
                <w:b/>
                <w:bCs/>
                <w:color w:val="B91C1C"/>
              </w:rPr>
              <w:t xml:space="preserve">Filosofía de uso</w:t>
            </w:r>
          </w:p>
          <w:p>
            <w:r>
              <w:t xml:space="preserve">Toda salida es orientativa y se rige por el principio de máxima restricción: ante incertidumbre, se adopta siempre la hipótesis más desfavorable. Ningún resultado sustituye la medición de contraste ni la decisión del mando.</w:t>
            </w:r>
          </w:p>
        </w:tc>
      </w:tr>
    </w:tbl>
    <w:p>
      <w:pPr>
        <w:spacing w:after="120"/>
      </w:pPr>
      <w:r>
        <w:t xml:space="preserve"/>
      </w:r>
    </w:p>
    <w:p>
      <w:pPr>
        <w:pStyle w:val="Heading1"/>
      </w:pPr>
      <w:r>
        <w:t xml:space="preserve">Novedades de esta versión (julio 2026)</w:t>
      </w:r>
    </w:p>
    <w:p>
      <w:pPr>
        <w:spacing w:after="120"/>
      </w:pPr>
      <w:r>
        <w:t xml:space="preserve">Esta actualización se centra en la legibilidad en campo, la automatización de la meteorología y la seguridad del criterio (contenedores compatibles y concentración correcta por explosividad). Los cambios principales son:</w:t>
      </w:r>
    </w:p>
    <w:p>
      <w:pPr>
        <w:pStyle w:val="ListParagraph"/>
        <w:numPr>
          <w:ilvl w:val="0"/>
          <w:numId w:val="2"/>
        </w:numPr>
        <w:spacing w:after="60"/>
      </w:pPr>
      <w:r>
        <w:t xml:space="preserve">Tema visual claro de alto contraste: fondo blanco y textos oscuros para mejorar la lectura de textos y campos en condiciones de campo y con luz solar.</w:t>
      </w:r>
    </w:p>
    <w:p>
      <w:pPr>
        <w:pStyle w:val="ListParagraph"/>
        <w:numPr>
          <w:ilvl w:val="0"/>
          <w:numId w:val="2"/>
        </w:numPr>
        <w:spacing w:after="60"/>
      </w:pPr>
      <w:r>
        <w:t xml:space="preserve">Meteorología totalmente automática: el paso de meteo deja de mostrarse como pantalla. El viento y las condiciones se cargan solos por GPS al avanzar desde detectores y aparecen en el indicador superior del asistente (viento, temperatura, humedad y lluvia). El asistente pasa a seis pasos visibles. La pantalla de Meteo incorpora la lluvia (mm/h), que alimenta el lavado por lluvia de la nube.</w:t>
      </w:r>
    </w:p>
    <w:p>
      <w:pPr>
        <w:pStyle w:val="ListParagraph"/>
        <w:numPr>
          <w:ilvl w:val="0"/>
          <w:numId w:val="2"/>
        </w:numPr>
        <w:spacing w:after="60"/>
      </w:pPr>
      <w:r>
        <w:t xml:space="preserve">Compatibilidad sustancia–contenedor: en el paso de contenedor solo se ofrecen los envases admisibles según las propiedades de la sustancia (presión de transporte, estado y familia química) y las incompatibilidades de material (criterios ADR y fichas de seguridad). Se preselecciona el más adecuado —resaltado para no generar dudas al mando— y se explica el motivo. Por ejemplo, los gases licuados o comprimidos a presión (superior a 1 bar) solo admiten recipientes a presión, nunca plástico ni cisternas sin presión.</w:t>
      </w:r>
    </w:p>
    <w:p>
      <w:pPr>
        <w:pStyle w:val="ListParagraph"/>
        <w:numPr>
          <w:ilvl w:val="0"/>
          <w:numId w:val="2"/>
        </w:numPr>
        <w:spacing w:after="60"/>
      </w:pPr>
      <w:r>
        <w:t xml:space="preserve">Concentración correcta por explosividad: cuando la lectura procede de la celda de explosividad (LEL), el dictamen la expresa en % LEL —no en ppm— y añade el porcentaje en volumen de aire y el rango de inflamabilidad completo de la sustancia (límite inferior y superior, LEL–UEL).</w:t>
      </w:r>
    </w:p>
    <w:p>
      <w:pPr>
        <w:pStyle w:val="ListParagraph"/>
        <w:numPr>
          <w:ilvl w:val="0"/>
          <w:numId w:val="2"/>
        </w:numPr>
        <w:spacing w:after="60"/>
      </w:pPr>
      <w:r>
        <w:t xml:space="preserve">Pasos opcionales señalizados: la estimación de fuga/derrame y el sector se marcan claramente como opcionales, con aviso destacado y botón «Saltar sin estimar» o «Saltar sin sector». Es preferible saltar un paso a introducir datos inciertos que resten fiabilidad al resultado.</w:t>
      </w:r>
    </w:p>
    <w:p>
      <w:pPr>
        <w:pStyle w:val="ListParagraph"/>
        <w:numPr>
          <w:ilvl w:val="0"/>
          <w:numId w:val="2"/>
        </w:numPr>
        <w:spacing w:after="120"/>
      </w:pPr>
      <w:r>
        <w:t xml:space="preserve">Registro de la intervención ampliado: registra todos los pasos del asistente con un contador de tiempo desde el inicio de la intervención. La exportación a PDF o impresión genera un documento limpio (cabecera, hora de inicio, duración total, ubicación GPS y tabla cronológica de eventos), en lugar de imprimir la pantalla. La guía rápida se ha actualizado al flujo actual.</w:t>
      </w:r>
    </w:p>
    <w:p>
      <w:pPr>
        <w:pStyle w:val="Heading1"/>
      </w:pPr>
      <w:r>
        <w:t xml:space="preserve">Novedades de esta versión (junio 2026)</w:t>
      </w:r>
    </w:p>
    <w:p>
      <w:pPr>
        <w:spacing w:after="120"/>
      </w:pPr>
      <w:r>
        <w:t xml:space="preserve">Esta versión incorpora correcciones de fondo en el modelo de dispersión y una reorganización de la interfaz orientada a la lectura rápida en campo. Los cambios principales son:</w:t>
      </w:r>
    </w:p>
    <w:p>
      <w:pPr>
        <w:pStyle w:val="ListParagraph"/>
        <w:numPr>
          <w:ilvl w:val="0"/>
          <w:numId w:val="2"/>
        </w:numPr>
        <w:spacing w:after="60"/>
      </w:pPr>
      <w:r>
        <w:t xml:space="preserve">Base ampliada a 76 sustancias, con el alta del difluoruro de oxígeno (OF₂, UN 2190).</w:t>
      </w:r>
    </w:p>
    <w:p>
      <w:pPr>
        <w:pStyle w:val="ListParagraph"/>
        <w:numPr>
          <w:ilvl w:val="0"/>
          <w:numId w:val="2"/>
        </w:numPr>
        <w:spacing w:after="60"/>
      </w:pPr>
      <w:r>
        <w:t xml:space="preserve">Predominio del número ONU: la identificación documental prevalece sobre la inferencia de firma. Una lectura cruzada (por ejemplo, una celda de HF respondiendo al Cl₂) se atribuye a la sustancia identificada y no propone una sustancia distinta; sin identificación por ONU, sigue mandando el peor gas medido.</w:t>
      </w:r>
    </w:p>
    <w:p>
      <w:pPr>
        <w:pStyle w:val="ListParagraph"/>
        <w:numPr>
          <w:ilvl w:val="0"/>
          <w:numId w:val="2"/>
        </w:numPr>
        <w:spacing w:after="60"/>
      </w:pPr>
      <w:r>
        <w:t xml:space="preserve">Modelo de dispersión corregido para gases licuados a presión (cloro, amoniaco, dióxido de azufre, sulfuro de hidrógeno, fosgeno, acetileno y análogos): generan concentración por chorro aunque no se forme charco. Para líquidos muy volátiles (HF, HCN, NO₂, mercaptanos) el charco se estima a partir del caudal de fuga. En consecuencia, ningún tóxico devuelve concentración cero cuando el diámetro de charco es cero.</w:t>
      </w:r>
    </w:p>
    <w:p>
      <w:pPr>
        <w:pStyle w:val="ListParagraph"/>
        <w:numPr>
          <w:ilvl w:val="0"/>
          <w:numId w:val="2"/>
        </w:numPr>
        <w:spacing w:after="60"/>
      </w:pPr>
      <w:r>
        <w:t xml:space="preserve">Asistente de seis pasos más esquemático: un indicador superior persistente muestra el producto identificado, los detectores configurados, la detectabilidad (verde directa, ámbar cruzada, rojo no detectable) y las concentraciones estimada y leída. Se añaden autosaltos entre pasos y se han reducido los textos de ayuda.</w:t>
      </w:r>
    </w:p>
    <w:p>
      <w:pPr>
        <w:pStyle w:val="ListParagraph"/>
        <w:numPr>
          <w:ilvl w:val="0"/>
          <w:numId w:val="2"/>
        </w:numPr>
        <w:spacing w:after="60"/>
      </w:pPr>
      <w:r>
        <w:t xml:space="preserve">Cuadro de mando reordenado: Análisis, Zonas, Mapa, Meteo, Orden y Registro.</w:t>
      </w:r>
    </w:p>
    <w:p>
      <w:pPr>
        <w:pStyle w:val="ListParagraph"/>
        <w:numPr>
          <w:ilvl w:val="0"/>
          <w:numId w:val="2"/>
        </w:numPr>
        <w:spacing w:after="60"/>
      </w:pPr>
      <w:r>
        <w:t xml:space="preserve">Pantalla de Zonas con los resultados en primer plano (tasa de emisión, distancias AEGL, evolución de la pluma y tabla ERG) y la configuración recogida en un acordeón.</w:t>
      </w:r>
    </w:p>
    <w:p>
      <w:pPr>
        <w:pStyle w:val="ListParagraph"/>
        <w:numPr>
          <w:ilvl w:val="0"/>
          <w:numId w:val="2"/>
        </w:numPr>
        <w:spacing w:after="60"/>
      </w:pPr>
      <w:r>
        <w:t xml:space="preserve">Mapa simplificado: un único control de ubicación alterna entre «Centrar en GPS» y «Marcar ubicación» y, al elegir el punto, carga automáticamente la cartografía y la meteorología de esa coordenada; las herramientas avanzadas (topografía, simulación e importación ALOHA) se agrupan en un acordeón.</w:t>
      </w:r>
    </w:p>
    <w:p>
      <w:pPr>
        <w:pStyle w:val="ListParagraph"/>
        <w:numPr>
          <w:ilvl w:val="0"/>
          <w:numId w:val="2"/>
        </w:numPr>
        <w:spacing w:after="120"/>
      </w:pPr>
      <w:r>
        <w:t xml:space="preserve">Nueva pantalla de Bibliografía que consolida las fuentes y referencias normativas.</w:t>
      </w:r>
    </w:p>
    <w:p>
      <w:pPr>
        <w:pStyle w:val="ListParagraph"/>
        <w:numPr>
          <w:ilvl w:val="0"/>
          <w:numId w:val="2"/>
        </w:numPr>
        <w:spacing w:after="60"/>
      </w:pPr>
      <w:r>
        <w:t xml:space="preserve">Retención del terreno en el charco autoestimado: cuando el charco no se mide, la aplicación ya no reparte todo el líquido fugado en una película fina, sino que aplica una fracción de retención (suelo permeable rural ×0,45; pavimento urbano ×0,70), incluyendo así de forma indirecta la absorción del terreno, el drenaje y la evaporación previa. Esto evita sobrestimar las concentraciones cuando no hay charco medido.</w:t>
      </w:r>
    </w:p>
    <w:p>
      <w:pPr>
        <w:pStyle w:val="ListParagraph"/>
        <w:numPr>
          <w:ilvl w:val="0"/>
          <w:numId w:val="2"/>
        </w:numPr>
        <w:spacing w:after="60"/>
      </w:pPr>
      <w:r>
        <w:t xml:space="preserve">Deposición seca de la nube (deplección): modelo de «source depletion» de Chamberlain que reduce la concentración aguas abajo por absorción al suelo y a la vegetación, con velocidad de deposición propia de cada sustancia (alta en gases reactivos o solubles, casi nula en hidrocarburos e inertes).</w:t>
      </w:r>
    </w:p>
    <w:p>
      <w:pPr>
        <w:pStyle w:val="ListParagraph"/>
        <w:numPr>
          <w:ilvl w:val="0"/>
          <w:numId w:val="2"/>
        </w:numPr>
        <w:spacing w:after="120"/>
      </w:pPr>
      <w:r>
        <w:t xml:space="preserve">Lavado por lluvia (washout): eliminación de primer orden de la nube en función de la intensidad de precipitación y la solubilidad del gas; el campo de lluvia (mm/h) se autorrellena con la meteorología. La deposición seca y el lavado son opcionales (interruptor en la pantalla de Zonas) y están apagados por defecto para mantener el criterio conservador; al activarlos, acortan las distancias y los resultados lo indican.</w:t>
      </w:r>
    </w:p>
    <w:p>
      <w:pPr>
        <w:pStyle w:val="Heading1"/>
      </w:pPr>
      <w:r>
        <w:t xml:space="preserve">2. Instalación y primer uso</w:t>
      </w:r>
    </w:p>
    <w:p>
      <w:pPr>
        <w:pStyle w:val="Heading2"/>
      </w:pPr>
      <w:r>
        <w:t xml:space="preserve">2.1 Despliegue</w:t>
      </w:r>
    </w:p>
    <w:p>
      <w:pPr>
        <w:spacing w:after="120"/>
      </w:pPr>
      <w:r>
        <w:t xml:space="preserve">La aplicación se compone de cinco archivos que deben alojarse juntos en un servidor con HTTPS (GitHub Pages, Netlify, Vercel o servidor propio):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Archivo</w:t>
            </w:r>
          </w:p>
        </w:tc>
        <w:tc>
          <w:tcPr>
            <w:tcW w:type="dxa" w:w="636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Función</w:t>
            </w:r>
          </w:p>
        </w:tc>
      </w:tr>
      <w:tr>
        <w:tc>
          <w:tcPr>
            <w:tcW w:type="dxa" w:w="30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index.html</w:t>
            </w:r>
          </w:p>
        </w:tc>
        <w:tc>
          <w:tcPr>
            <w:tcW w:type="dxa" w:w="63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Aplicación completa</w:t>
            </w:r>
          </w:p>
        </w:tc>
      </w:tr>
      <w:tr>
        <w:tc>
          <w:tcPr>
            <w:tcW w:type="dxa" w:w="30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manifest.json</w:t>
            </w:r>
          </w:p>
        </w:tc>
        <w:tc>
          <w:tcPr>
            <w:tcW w:type="dxa" w:w="63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Manifiesto PWA (icono, nombre, modo standalone)</w:t>
            </w:r>
          </w:p>
        </w:tc>
      </w:tr>
      <w:tr>
        <w:tc>
          <w:tcPr>
            <w:tcW w:type="dxa" w:w="30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sw.js</w:t>
            </w:r>
          </w:p>
        </w:tc>
        <w:tc>
          <w:tcPr>
            <w:tcW w:type="dxa" w:w="63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Service Worker — funcionamiento offline</w:t>
            </w:r>
          </w:p>
        </w:tc>
      </w:tr>
      <w:tr>
        <w:tc>
          <w:tcPr>
            <w:tcW w:type="dxa" w:w="30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icono-192.png / icono-512.png</w:t>
            </w:r>
          </w:p>
        </w:tc>
        <w:tc>
          <w:tcPr>
            <w:tcW w:type="dxa" w:w="63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Iconos de instalación</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45309" w:sz="1"/>
              <w:left w:val="single" w:color="B45309" w:sz="24"/>
              <w:bottom w:val="single" w:color="B45309" w:sz="1"/>
              <w:right w:val="single" w:color="B45309" w:sz="1"/>
            </w:tcBorders>
            <w:shd w:fill="EAF2F8" w:val="clear"/>
            <w:tcMar>
              <w:top w:type="dxa" w:w="120"/>
              <w:left w:type="dxa" w:w="160"/>
              <w:bottom w:type="dxa" w:w="120"/>
              <w:right w:type="dxa" w:w="160"/>
            </w:tcMar>
          </w:tcPr>
          <w:p>
            <w:pPr>
              <w:spacing w:after="60"/>
            </w:pPr>
            <w:r>
              <w:rPr>
                <w:b/>
                <w:bCs/>
                <w:color w:val="B45309"/>
              </w:rPr>
              <w:t xml:space="preserve">Requisito de HTTPS</w:t>
            </w:r>
          </w:p>
          <w:p>
            <w:r>
              <w:t xml:space="preserve">El GPS, la brújula y el Service Worker solo funcionan bajo HTTPS (o en http://localhost para pruebas). En http simple quedarán deshabilitados.</w:t>
            </w:r>
          </w:p>
        </w:tc>
      </w:tr>
    </w:tbl>
    <w:p>
      <w:pPr>
        <w:pStyle w:val="Heading2"/>
      </w:pPr>
      <w:r>
        <w:t xml:space="preserve">2.2 Instalación como app</w:t>
      </w:r>
    </w:p>
    <w:p>
      <w:pPr>
        <w:spacing w:after="120"/>
      </w:pPr>
      <w:r>
        <w:t xml:space="preserve">Abrir la URL en el navegador del dispositivo y elegir «Añadir a pantalla de inicio». La aplicación se instala como una app independiente y queda disponible offline tras la primera apertura con cobertura.</w:t>
      </w:r>
    </w:p>
    <w:p>
      <w:pPr>
        <w:pStyle w:val="Heading2"/>
      </w:pPr>
      <w:r>
        <w:t xml:space="preserve">2.3 Funcionamiento offline</w:t>
      </w:r>
    </w:p>
    <w:p>
      <w:pPr>
        <w:pStyle w:val="ListParagraph"/>
        <w:numPr>
          <w:ilvl w:val="0"/>
          <w:numId w:val="2"/>
        </w:numPr>
        <w:spacing w:after="60"/>
      </w:pPr>
      <w:r>
        <w:t xml:space="preserve">El núcleo de la aplicación y la librería de mapas quedan precargados en la instalación.</w:t>
      </w:r>
    </w:p>
    <w:p>
      <w:pPr>
        <w:pStyle w:val="ListParagraph"/>
        <w:numPr>
          <w:ilvl w:val="0"/>
          <w:numId w:val="2"/>
        </w:numPr>
        <w:spacing w:after="60"/>
      </w:pPr>
      <w:r>
        <w:t xml:space="preserve">Las teselas de mapa se cachean al navegarlas con cobertura: conviene recorrer la zona de intervención en el mapa antes de perder señal.</w:t>
      </w:r>
    </w:p>
    <w:p>
      <w:pPr>
        <w:pStyle w:val="ListParagraph"/>
        <w:numPr>
          <w:ilvl w:val="0"/>
          <w:numId w:val="2"/>
        </w:numPr>
        <w:spacing w:after="60"/>
      </w:pPr>
      <w:r>
        <w:t xml:space="preserve">El modelo de elevación (topografía) también se cachea, ya que el terreno no cambia.</w:t>
      </w:r>
    </w:p>
    <w:p>
      <w:pPr>
        <w:pStyle w:val="ListParagraph"/>
        <w:numPr>
          <w:ilvl w:val="0"/>
          <w:numId w:val="2"/>
        </w:numPr>
        <w:spacing w:after="60"/>
      </w:pPr>
      <w:r>
        <w:t xml:space="preserve">La meteorología automática requiere red y nunca se sirve caducada; sin cobertura, se introduce el viento manualmente.</w:t>
      </w:r>
    </w:p>
    <w:p>
      <w:r>
        <w:br w:type="page"/>
      </w:r>
    </w:p>
    <w:p>
      <w:pPr>
        <w:pStyle w:val="Heading1"/>
      </w:pPr>
      <w:r>
        <w:t xml:space="preserve">3. Flujo operativo paso a paso</w:t>
      </w:r>
    </w:p>
    <w:p>
      <w:pPr>
        <w:spacing w:after="120"/>
      </w:pPr>
      <w:r>
        <w:t xml:space="preserve">La aplicación está diseñada para guiar la intervención de principio a fin con un único hilo conductor, evitando el desplazamiento y la duplicidad de datos entre pantallas. El recorrido es: pantalla de bienvenida, asistente de seis pasos y, una vez obtenido el resultado, un menú de operación con las áreas de trabajo.</w:t>
      </w:r>
    </w:p>
    <w:p>
      <w:pPr>
        <w:pStyle w:val="Heading2"/>
      </w:pPr>
      <w:r>
        <w:t xml:space="preserve">3.1 Pantalla de bienvenida y guía rápida</w:t>
      </w:r>
    </w:p>
    <w:p>
      <w:pPr>
        <w:spacing w:after="120"/>
      </w:pPr>
      <w:r>
        <w:t xml:space="preserve">Al arrancar, la aplicación muestra una pantalla de bienvenida con una guía rápida del flujo, pensada para orientar antes de operar. Desde ella se accede al cuadro de mando, que resume el estado de la intervención: el nivel global de riesgo (con un semáforo permanente en la cabecera, visible en todas las pantallas), la concentración frente a los umbrales, el viento, la posición GPS y el temporizador de reevaluación. El cuadro de mando ofrece «Nueva intervención (guiada)», que abre el asistente, e «Ir a operación», que lleva al menú de áreas de trabajo cuando ya hay un análisis.</w:t>
      </w:r>
    </w:p>
    <w:p>
      <w:pPr>
        <w:pStyle w:val="Heading2"/>
      </w:pPr>
      <w:r>
        <w:t xml:space="preserve">3.2 Asistente guiado (seis pasos)</w:t>
      </w:r>
    </w:p>
    <w:p>
      <w:pPr>
        <w:spacing w:after="120"/>
      </w:pPr>
      <w:r>
        <w:t xml:space="preserve">El asistente conduce la intervención por pantallas de un solo foco, con un único botón de avance en la parte inferior (fijo, siempre accesible). El recorrido consta de seis pasos visibles (la meteorología se captura de forma automática en segundo plano y no se muestra como paso):</w:t>
      </w:r>
    </w:p>
    <w:p>
      <w:pPr>
        <w:pStyle w:val="ListParagraph"/>
        <w:numPr>
          <w:ilvl w:val="0"/>
          <w:numId w:val="3"/>
        </w:numPr>
        <w:spacing w:after="60"/>
      </w:pPr>
      <w:r>
        <w:t xml:space="preserve">Sustancia (ONU): el asistente comienza identificando la sustancia por número ONU mediante teclado a pantalla completa. Al introducir un ONU válido, el producto queda fijado en el indicador superior persistente y el asistente avanza automáticamente al paso siguiente. Identificar la sustancia permite resaltar después qué celdas del detector pueden aportar lectura. Si no se conoce el ONU, puede saltarse este paso.</w:t>
      </w:r>
    </w:p>
    <w:p>
      <w:pPr>
        <w:pStyle w:val="ListParagraph"/>
        <w:numPr>
          <w:ilvl w:val="0"/>
          <w:numId w:val="3"/>
        </w:numPr>
        <w:spacing w:after="60"/>
      </w:pPr>
      <w:r>
        <w:t xml:space="preserve">Configuración de detectores: para cada detector (A principal y B de contraste opcional, presentados como acordeones plegables) se identifica el fabricante entre RAE, Dräger, MSA, Honeywell y Blackline y se marcan las celdas que monta el equipo. La celda de explosividad indica su tecnología real (LEL catalítico de perla, LEL infrarrojo o MPS). Los detectores elegidos y la detectabilidad de la sustancia (verde directa, ámbar cruzada, rojo no detectable) se reflejan en el indicador superior. Si se introdujo el ONU, las celdas que pueden aportar lectura se resaltan en color (ver sección 13).</w:t>
      </w:r>
    </w:p>
    <w:p>
      <w:pPr>
        <w:pStyle w:val="ListParagraph"/>
        <w:spacing w:after="60" w:before="20"/>
        <w:ind w:left="360"/>
      </w:pPr>
      <w:r>
        <w:rPr>
          <w:i/>
        </w:rPr>
        <w:t xml:space="preserve">↳ Meteorología (automática, sin paso propio): al avanzar desde la configuración de detectores, la aplicación captura el viento real por GPS en segundo plano y programa el refresco automático cada 15 minutos. Los datos (viento, temperatura, humedad y lluvia) se muestran en el indicador superior del asistente y se vuelcan a la zonificación, la pluma y el análisis. La pantalla de Meteo del menú permite consultarlos y refrescarlos manualmente.</w:t>
      </w:r>
    </w:p>
    <w:p>
      <w:pPr>
        <w:pStyle w:val="ListParagraph"/>
        <w:numPr>
          <w:ilvl w:val="0"/>
          <w:numId w:val="3"/>
        </w:numPr>
        <w:spacing w:after="60"/>
      </w:pPr>
      <w:r>
        <w:t xml:space="preserve">Tipo de contenedor/depósito: la aplicación ofrece únicamente los envases compatibles con la sustancia, según sus propiedades (presión de transporte, estado y familia química) y las incompatibilidades de material (criterios ADR y fichas de seguridad), y preselecciona el más adecuado, resaltado para no generar dudas al mando (por ejemplo, un gas licuado a presión solo admite recipientes a presión, nunca plástico ni cisternas sin presión). El diagnóstico de detectabilidad (directa, por sensibilidad cruzada o imposible) se muestra arriba, en el indicador superior con código de color, y se predicen los subproductos de reacción según el contenedor (ver sección 4).</w:t>
      </w:r>
    </w:p>
    <w:p>
      <w:pPr>
        <w:pStyle w:val="ListParagraph"/>
        <w:numPr>
          <w:ilvl w:val="0"/>
          <w:numId w:val="3"/>
        </w:numPr>
        <w:spacing w:after="60"/>
      </w:pPr>
      <w:r>
        <w:t xml:space="preserve">Equipos y lecturas: dividido en dos subpasos. En 4.1 se estima el derrame o la fuga y se introduce la distancia al foco; la concentración estimada aparece en el indicador superior y, al pulsar «Estimar por fuga/charco», el asistente salta automáticamente a 4.2 si hay detectores configurados o al paso 5 si no los hay (el botón muestra «Saltar sin estimar» mientras no se estime). En 4.2 se recogen las lecturas reales de cada celda; junto a cada una se muestra la lectura aproximada esperada —en verde la directa y en ámbar la de sensibilidad cruzada— y la concentración leída se refleja también en el indicador superior (ver sección 13).</w:t>
      </w:r>
    </w:p>
    <w:p>
      <w:pPr>
        <w:pStyle w:val="ListParagraph"/>
        <w:numPr>
          <w:ilvl w:val="0"/>
          <w:numId w:val="3"/>
        </w:numPr>
        <w:spacing w:after="60"/>
      </w:pPr>
      <w:r>
        <w:t xml:space="preserve">Sector/Actividad del incidente: selección del contexto del aviso mediante un selector. La elección se propaga al resto del análisis para corroborar la coherencia de los gases detectados con la firma del sector.</w:t>
      </w:r>
    </w:p>
    <w:p>
      <w:pPr>
        <w:pStyle w:val="ListParagraph"/>
        <w:numPr>
          <w:ilvl w:val="0"/>
          <w:numId w:val="3"/>
        </w:numPr>
        <w:spacing w:after="60"/>
      </w:pPr>
      <w:r>
        <w:t xml:space="preserve">Modelo de dispersión de la sustancia: la aplicación propone el modelo más adecuado según la tipología del producto (gaussiano para gas neutro o ligero, gas denso de Britter-McQuaid para vapores pesados, fase de chorro para fugas a presión). El usuario puede aceptarlo o cambiarlo.</w:t>
      </w:r>
    </w:p>
    <w:p>
      <w:pPr>
        <w:spacing w:after="120"/>
      </w:pPr>
      <w:r>
        <w:t xml:space="preserve">Al finalizar los seis pasos, la aplicación muestra el resultado: un semáforo de nivel de riesgo. Un único botón «Continuar» da paso al menú de operación.</w:t>
      </w:r>
    </w:p>
    <w:p>
      <w:pPr>
        <w:pStyle w:val="Heading2"/>
      </w:pPr>
      <w:r>
        <w:t xml:space="preserve">3.3 Menú de operación</w:t>
      </w:r>
    </w:p>
    <w:p>
      <w:pPr>
        <w:spacing w:after="120"/>
      </w:pPr>
      <w:r>
        <w:t xml:space="preserve">Tras el análisis se presenta un cuadro de mando con botones grandes en este orden: Análisis, Zonas, Mapa, Meteo, Orden y Registro. Cada botón abre una pantalla con contenido específico y sin duplicidades, lo que evita confusión sobre dónde está cada dato:</w:t>
      </w:r>
    </w:p>
    <w:p>
      <w:pPr>
        <w:pStyle w:val="ListParagraph"/>
        <w:numPr>
          <w:ilvl w:val="0"/>
          <w:numId w:val="2"/>
        </w:numPr>
        <w:spacing w:after="60"/>
      </w:pPr>
      <w:r>
        <w:t xml:space="preserve">Meteo: viento y condiciones atmosféricas, con captura por GPS y refresco automático. Es el único lugar donde se gestiona la meteorología.</w:t>
      </w:r>
    </w:p>
    <w:p>
      <w:pPr>
        <w:pStyle w:val="ListParagraph"/>
        <w:numPr>
          <w:ilvl w:val="0"/>
          <w:numId w:val="2"/>
        </w:numPr>
        <w:spacing w:after="60"/>
      </w:pPr>
      <w:r>
        <w:t xml:space="preserve">Análisis: semáforo de nivel, dictamen y, si se seleccionó sector, la corroboración. Los candidatos por probabilidad y la corroboración con el sector se consolidan en la pantalla de Compartir, junto al dictamen, para su revisión antes de enviarlo al mando.</w:t>
      </w:r>
    </w:p>
    <w:p>
      <w:pPr>
        <w:pStyle w:val="ListParagraph"/>
        <w:numPr>
          <w:ilvl w:val="0"/>
          <w:numId w:val="2"/>
        </w:numPr>
        <w:spacing w:after="60"/>
      </w:pPr>
      <w:r>
        <w:t xml:space="preserve">Zonas: la zonificación táctica con los resultados en primer plano (tasa de emisión, distancias AEGL caliente/templada/fría, evolución prevista de la pluma y tabla ERG). La configuración (viento, escenario ERG y modelo de dispersión) se recoge en un acordeón. No repite la meteorología, que tiene su propia pantalla.</w:t>
      </w:r>
    </w:p>
    <w:p>
      <w:pPr>
        <w:pStyle w:val="ListParagraph"/>
        <w:numPr>
          <w:ilvl w:val="0"/>
          <w:numId w:val="2"/>
        </w:numPr>
        <w:spacing w:after="60"/>
      </w:pPr>
      <w:r>
        <w:t xml:space="preserve">Mapa: el mapa de dispersión con la planta (vista cenital) y el perfil (alzado) de la pluma. Un único control de ubicación alterna entre «Centrar en GPS» y «Marcar ubicación»; al elegir el punto, carga automáticamente la cartografía y la meteorología de esa coordenada. El conmutador satélite/callejero y «Simular pluma» quedan a la vista, y las herramientas avanzadas (topografía DEM, importación y pasaporte ALOHA) se agrupan en un acordeón.</w:t>
      </w:r>
    </w:p>
    <w:p>
      <w:pPr>
        <w:pStyle w:val="ListParagraph"/>
        <w:numPr>
          <w:ilvl w:val="0"/>
          <w:numId w:val="2"/>
        </w:numPr>
        <w:spacing w:after="60"/>
      </w:pPr>
      <w:r>
        <w:t xml:space="preserve">Orden: compone la orden inicial GOM a partir del dictamen (ver sección 9).</w:t>
      </w:r>
    </w:p>
    <w:p>
      <w:pPr>
        <w:spacing w:after="120"/>
      </w:pPr>
      <w:r>
        <w:t xml:space="preserve">Un botón flotante de reanálisis, presente en el menú y en la pantalla de análisis, abre una ventana con cuatro vías de recálculo: por nueva lectura de sensor, por charco (evaporación), por fuga (caudal del orificio) y por forzado de la meteorología. Cualquiera de ellas recalcula el nivel, las zonas, el dictamen y la orden, y registra el cambio.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6BA8" w:sz="1"/>
              <w:left w:val="single" w:color="0E6BA8" w:sz="24"/>
              <w:bottom w:val="single" w:color="0E6BA8" w:sz="1"/>
              <w:right w:val="single" w:color="0E6BA8" w:sz="1"/>
            </w:tcBorders>
            <w:shd w:fill="EAF2F8" w:val="clear"/>
            <w:tcMar>
              <w:top w:type="dxa" w:w="120"/>
              <w:left w:type="dxa" w:w="160"/>
              <w:bottom w:type="dxa" w:w="120"/>
              <w:right w:type="dxa" w:w="160"/>
            </w:tcMar>
          </w:tcPr>
          <w:p>
            <w:pPr>
              <w:spacing w:after="60"/>
            </w:pPr>
            <w:r>
              <w:rPr>
                <w:b/>
                <w:bCs/>
                <w:color w:val="0E6BA8"/>
              </w:rPr>
              <w:t xml:space="preserve">Sin duplicidades</w:t>
            </w:r>
          </w:p>
          <w:p>
            <w:r>
              <w:t xml:space="preserve">Cada dato vive en una sola pantalla: la meteo en Meteo, las zonas en Zonas, los candidatos en Compartir. Esto evita que un mismo valor aparezca en dos sitios con riesgo de incoherencia, un problema clásico de usabilidad al pasar de un panel de escritorio a una pantalla pequeña.</w:t>
            </w:r>
          </w:p>
        </w:tc>
      </w:tr>
    </w:tbl>
    <w:p>
      <w:r>
        <w:br w:type="page"/>
      </w:r>
    </w:p>
    <w:p>
      <w:pPr>
        <w:pStyle w:val="Heading1"/>
      </w:pPr>
      <w:r>
        <w:t xml:space="preserve">4. Identificación de gas y sensibilidad cruzada</w:t>
      </w:r>
    </w:p>
    <w:p>
      <w:pPr>
        <w:spacing w:after="120"/>
      </w:pPr>
      <w:r>
        <w:t xml:space="preserve">El motor cruza las lecturas de ambos detectores y resuelve las interferencias mutuas entre celdas electroquímicas antes de cualquier cálculo posterior.</w:t>
      </w:r>
    </w:p>
    <w:p>
      <w:pPr>
        <w:pStyle w:val="Heading2"/>
      </w:pPr>
      <w:r>
        <w:t xml:space="preserve">4.1 Matriz de respuesta cruzada</w:t>
      </w:r>
    </w:p>
    <w:p>
      <w:pPr>
        <w:spacing w:after="120"/>
      </w:pPr>
      <w:r>
        <w:t xml:space="preserve">Cada celda responde parcialmente a gases distintos del objetivo (por ejemplo, el H₂ satura el canal de CO; el H₂S falsea las celdas de Cl₂ y SO₂). La matriz de factores de respuesta se resuelve por iteración de Gauss-Seidel para estimar las concentraciones reales.</w:t>
      </w:r>
    </w:p>
    <w:p>
      <w:pPr>
        <w:pStyle w:val="Heading2"/>
      </w:pPr>
      <w:r>
        <w:t xml:space="preserve">4.2 Salvaguardas de seguridad</w:t>
      </w:r>
    </w:p>
    <w:p>
      <w:pPr>
        <w:pStyle w:val="ListParagraph"/>
        <w:numPr>
          <w:ilvl w:val="0"/>
          <w:numId w:val="2"/>
        </w:numPr>
        <w:spacing w:after="60"/>
      </w:pPr>
      <w:r>
        <w:rPr>
          <w:b/>
          <w:bCs/>
        </w:rPr>
        <w:t xml:space="preserve">No inventa detecciones: </w:t>
      </w:r>
      <w:r>
        <w:t xml:space="preserve">una celda a cero nunca produce una concentración positiva por compensación.</w:t>
      </w:r>
    </w:p>
    <w:p>
      <w:pPr>
        <w:pStyle w:val="ListParagraph"/>
        <w:numPr>
          <w:ilvl w:val="0"/>
          <w:numId w:val="2"/>
        </w:numPr>
        <w:spacing w:after="60"/>
      </w:pPr>
      <w:r>
        <w:rPr>
          <w:b/>
          <w:bCs/>
        </w:rPr>
        <w:t xml:space="preserve">Canales conocidos como interferentes: </w:t>
      </w:r>
      <w:r>
        <w:t xml:space="preserve">el H₂ y otros canales fiables se descuentan como concentración conocida.</w:t>
      </w:r>
    </w:p>
    <w:p>
      <w:pPr>
        <w:pStyle w:val="ListParagraph"/>
        <w:numPr>
          <w:ilvl w:val="0"/>
          <w:numId w:val="2"/>
        </w:numPr>
        <w:spacing w:after="60"/>
      </w:pPr>
      <w:r>
        <w:rPr>
          <w:b/>
          <w:bCs/>
        </w:rPr>
        <w:t xml:space="preserve">Avisos de supresión: </w:t>
      </w:r>
      <w:r>
        <w:t xml:space="preserve">si un gas presente puede estar restando señal a una celda que marca cero, se avisa de que la lectura nula no garantiza ausencia.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45309" w:sz="1"/>
              <w:left w:val="single" w:color="B45309" w:sz="24"/>
              <w:bottom w:val="single" w:color="B45309" w:sz="1"/>
              <w:right w:val="single" w:color="B45309" w:sz="1"/>
            </w:tcBorders>
            <w:shd w:fill="EAF2F8" w:val="clear"/>
            <w:tcMar>
              <w:top w:type="dxa" w:w="120"/>
              <w:left w:type="dxa" w:w="160"/>
              <w:bottom w:type="dxa" w:w="120"/>
              <w:right w:type="dxa" w:w="160"/>
            </w:tcMar>
          </w:tcPr>
          <w:p>
            <w:pPr>
              <w:spacing w:after="60"/>
            </w:pPr>
            <w:r>
              <w:rPr>
                <w:b/>
                <w:bCs/>
                <w:color w:val="B45309"/>
              </w:rPr>
              <w:t xml:space="preserve">Contraste obligatorio</w:t>
            </w:r>
          </w:p>
          <w:p>
            <w:r>
              <w:t xml:space="preserve">Los valores corregidos son orientativos. Toda lectura debe contrastarse con bump test y, en su caso, con tubo colorimétrico o detector alternativo.</w:t>
            </w:r>
          </w:p>
        </w:tc>
      </w:tr>
    </w:tbl>
    <w:p>
      <w:pPr>
        <w:pStyle w:val="Heading2"/>
      </w:pPr>
      <w:r>
        <w:t xml:space="preserve">4.3 Cobertura del sensor y recomendación de equipo</w:t>
      </w:r>
    </w:p>
    <w:p>
      <w:pPr>
        <w:spacing w:after="120"/>
      </w:pPr>
      <w:r>
        <w:t xml:space="preserve">Cuando la sustancia se identifica por número ONU, la herramienta determina si los detectores pueden medirla y clasifica el caso en tres situaciones: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Situación</w:t>
            </w:r>
          </w:p>
        </w:tc>
        <w:tc>
          <w:tcPr>
            <w:tcW w:type="dxa" w:w="636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Significado y actuación</w:t>
            </w:r>
          </w:p>
        </w:tc>
      </w:tr>
      <w:tr>
        <w:tc>
          <w:tcPr>
            <w:tcW w:type="dxa" w:w="30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Medición directa</w:t>
            </w:r>
          </w:p>
        </w:tc>
        <w:tc>
          <w:tcPr>
            <w:tcW w:type="dxa" w:w="63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Existe una celda específica que lee el gas. Se preselecciona el equipo recomendado.</w:t>
            </w:r>
          </w:p>
        </w:tc>
      </w:tr>
      <w:tr>
        <w:tc>
          <w:tcPr>
            <w:tcW w:type="dxa" w:w="30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Sensibilidad cruzada</w:t>
            </w:r>
          </w:p>
        </w:tc>
        <w:tc>
          <w:tcPr>
            <w:tcW w:type="dxa" w:w="63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No hay celda propia, pero otra responde con un factor conocido. Se recomienda el equipo, se muestra el factor y se aplica la corrección al analizar.</w:t>
            </w:r>
          </w:p>
        </w:tc>
      </w:tr>
      <w:tr>
        <w:tc>
          <w:tcPr>
            <w:tcW w:type="dxa" w:w="30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Imposible detectar</w:t>
            </w:r>
          </w:p>
        </w:tc>
        <w:tc>
          <w:tcPr>
            <w:tcW w:type="dxa" w:w="63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Ninguna celda disponible responde. Se opta por el método más restrictivo o por la estimación por derrame/fuga.</w:t>
            </w:r>
          </w:p>
        </w:tc>
      </w:tr>
    </w:tbl>
    <w:p>
      <w:pPr>
        <w:spacing w:after="80"/>
      </w:pPr>
      <w:r>
        <w:t xml:space="preserve"/>
      </w:r>
    </w:p>
    <w:p>
      <w:pPr>
        <w:pStyle w:val="Heading2"/>
      </w:pPr>
      <w:r>
        <w:t xml:space="preserve">4.4 Probabilidad de corroboración y ppm esperadas</w:t>
      </w:r>
    </w:p>
    <w:p>
      <w:pPr>
        <w:spacing w:after="120"/>
      </w:pPr>
      <w:r>
        <w:t xml:space="preserve">En el caso de sensibilidad cruzada, la aplicación estima la probabilidad de que la lectura corrobore el producto declarado por el ONU (combinando la magnitud del factor cruzado y la ambigüedad cuando varias celdas compiten) e indica las ppm esperadas en cada sensor que responde al gas, para una concentración real de referencia. Esto permite contrastar lo que el detector muestra con lo que debería mostrar si la sustancia es la declarada.</w:t>
      </w:r>
    </w:p>
    <w:p>
      <w:pPr>
        <w:pStyle w:val="Heading2"/>
      </w:pPr>
      <w:r>
        <w:t xml:space="preserve">4.5 Subproductos de reacción según el contenedor</w:t>
      </w:r>
    </w:p>
    <w:p>
      <w:pPr>
        <w:spacing w:after="120"/>
      </w:pPr>
      <w:r>
        <w:t xml:space="preserve">A partir del envase o forma de almacenamiento (cisterna de acero, inoxidable, aluminio, presurizada, depósito fijo, IBC de plástico, tubería o granel), la herramienta predice subproductos peligrosos de reacciones documentadas e indica con qué sensor detectarlos. El material de contacto define la reacción: un ácido sobre acero o aluminio libera hidrógeno (riesgo explosivo, detectable con MPS); una base fuerte sobre aluminio también; el ácido clorhídrico desprende niebla de HCl; el ácido nítrico, óxidos de nitrógeno; un contenido presurizado advierte de liberación súbita y riesgo de BLEVE.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45309" w:sz="1"/>
              <w:left w:val="single" w:color="B45309" w:sz="24"/>
              <w:bottom w:val="single" w:color="B45309" w:sz="1"/>
              <w:right w:val="single" w:color="B45309" w:sz="1"/>
            </w:tcBorders>
            <w:shd w:fill="EAF2F8" w:val="clear"/>
            <w:tcMar>
              <w:top w:type="dxa" w:w="120"/>
              <w:left w:type="dxa" w:w="160"/>
              <w:bottom w:type="dxa" w:w="120"/>
              <w:right w:type="dxa" w:w="160"/>
            </w:tcMar>
          </w:tcPr>
          <w:p>
            <w:pPr>
              <w:spacing w:after="60"/>
            </w:pPr>
            <w:r>
              <w:rPr>
                <w:b/>
                <w:bCs/>
                <w:color w:val="B45309"/>
              </w:rPr>
              <w:t xml:space="preserve">Predicción cualitativa</w:t>
            </w:r>
          </w:p>
          <w:p>
            <w:r>
              <w:t xml:space="preserve">La predicción de subproductos es cualitativa: indica qué gas esperar y su peligro, no su cantidad exacta, que depende de la concentración, la temperatura y la superficie de contacto. La estimación por derrame es de gabinete y de alta incertidumbre.</w:t>
            </w:r>
          </w:p>
        </w:tc>
      </w:tr>
    </w:tbl>
    <w:p>
      <w:pPr>
        <w:pStyle w:val="Heading2"/>
      </w:pPr>
      <w:r>
        <w:t xml:space="preserve">4.6 Sensor MPS: medición en % LEL, no en ppm</w:t>
      </w:r>
    </w:p>
    <w:p>
      <w:pPr>
        <w:spacing w:after="120"/>
      </w:pPr>
      <w:r>
        <w:t xml:space="preserve">El sensor MPS de NevadaNano mide explosividad: su lectura es el porcentaje del límite inferior de explosividad (% LEL), no una concentración tóxica en ppm. Son magnitudes físicas distintas y no deben confundirse: un gas puede estar muy por debajo de su LEL y aun así ser tóxico, o al contrario. La aplicación trata el canal MPS íntegramente en % LEL, sin convertirlo a ppm.</w:t>
      </w:r>
    </w:p>
    <w:p>
      <w:pPr>
        <w:spacing w:after="120"/>
      </w:pPr>
      <w:r>
        <w:t xml:space="preserve">El nivel de riesgo del canal MPS se asigna según las alarmas habituales del equipo y el criterio ATEX: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400"/>
        <w:gridCol w:w="1400"/>
        <w:gridCol w:w="4460"/>
      </w:tblGrid>
      <w:tr>
        <w:trPr>
          <w:tblHeader/>
        </w:trPr>
        <w:tc>
          <w:tcPr>
            <w:tcW w:type="dxa" w:w="21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Lectura MPS</w:t>
            </w:r>
          </w:p>
        </w:tc>
        <w:tc>
          <w:tcPr>
            <w:tcW w:type="dxa" w:w="14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Alarma</w:t>
            </w:r>
          </w:p>
        </w:tc>
        <w:tc>
          <w:tcPr>
            <w:tcW w:type="dxa" w:w="14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Nivel</w:t>
            </w:r>
          </w:p>
        </w:tc>
        <w:tc>
          <w:tcPr>
            <w:tcW w:type="dxa" w:w="446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Lectura táctica</w:t>
            </w:r>
          </w:p>
        </w:tc>
      </w:tr>
      <w:tr>
        <w:tc>
          <w:tcPr>
            <w:tcW w:type="dxa" w:w="21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&lt; 20 % LEL</w:t>
            </w:r>
          </w:p>
        </w:tc>
        <w:tc>
          <w:tcPr>
            <w:tcW w:type="dxa" w:w="1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w:t>
            </w:r>
          </w:p>
        </w:tc>
        <w:tc>
          <w:tcPr>
            <w:tcW w:type="dxa" w:w="1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NI</w:t>
            </w:r>
          </w:p>
        </w:tc>
        <w:tc>
          <w:tcPr>
            <w:tcW w:type="dxa" w:w="44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Vigilancia.</w:t>
            </w:r>
          </w:p>
        </w:tc>
      </w:tr>
      <w:tr>
        <w:tc>
          <w:tcPr>
            <w:tcW w:type="dxa" w:w="21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 20 % LEL</w:t>
            </w:r>
          </w:p>
        </w:tc>
        <w:tc>
          <w:tcPr>
            <w:tcW w:type="dxa" w:w="1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A1</w:t>
            </w:r>
          </w:p>
        </w:tc>
        <w:tc>
          <w:tcPr>
            <w:tcW w:type="dxa" w:w="1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NII</w:t>
            </w:r>
          </w:p>
        </w:tc>
        <w:tc>
          <w:tcPr>
            <w:tcW w:type="dxa" w:w="44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Alerta de explosividad.</w:t>
            </w:r>
          </w:p>
        </w:tc>
      </w:tr>
      <w:tr>
        <w:tc>
          <w:tcPr>
            <w:tcW w:type="dxa" w:w="21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 40 % LEL</w:t>
            </w:r>
          </w:p>
        </w:tc>
        <w:tc>
          <w:tcPr>
            <w:tcW w:type="dxa" w:w="1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A2</w:t>
            </w:r>
          </w:p>
        </w:tc>
        <w:tc>
          <w:tcPr>
            <w:tcW w:type="dxa" w:w="1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NIII</w:t>
            </w:r>
          </w:p>
        </w:tc>
        <w:tc>
          <w:tcPr>
            <w:tcW w:type="dxa" w:w="44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Atmósfera explosiva — evacuar y eliminar focos de ignición.</w:t>
            </w:r>
          </w:p>
        </w:tc>
      </w:tr>
      <w:tr>
        <w:tc>
          <w:tcPr>
            <w:tcW w:type="dxa" w:w="21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 50 % LEL</w:t>
            </w:r>
          </w:p>
        </w:tc>
        <w:tc>
          <w:tcPr>
            <w:tcW w:type="dxa" w:w="1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w:t>
            </w:r>
          </w:p>
        </w:tc>
        <w:tc>
          <w:tcPr>
            <w:tcW w:type="dxa" w:w="1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NIII+</w:t>
            </w:r>
          </w:p>
        </w:tc>
        <w:tc>
          <w:tcPr>
            <w:tcW w:type="dxa" w:w="44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Riesgo de deflagración — exclusión ATEX.</w:t>
            </w:r>
          </w:p>
        </w:tc>
      </w:tr>
    </w:tbl>
    <w:p>
      <w:pPr>
        <w:spacing w:after="80"/>
      </w:pPr>
      <w:r>
        <w:t xml:space="preserve"/>
      </w:r>
    </w:p>
    <w:p>
      <w:pPr>
        <w:spacing w:after="120"/>
      </w:pPr>
      <w:r>
        <w:t xml:space="preserve">Si hay una lectura de MPS sin sustancia identificada por ONU, la aplicación la presenta como gas o vapor inflamable sin especiar, avisando del riesgo de explosividad e invitando a identificar la sustancia, ya que el MPS no distingue de qué mezcla se trata.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45309" w:sz="1"/>
              <w:left w:val="single" w:color="B45309" w:sz="24"/>
              <w:bottom w:val="single" w:color="B45309" w:sz="1"/>
              <w:right w:val="single" w:color="B45309" w:sz="1"/>
            </w:tcBorders>
            <w:shd w:fill="EAF2F8" w:val="clear"/>
            <w:tcMar>
              <w:top w:type="dxa" w:w="120"/>
              <w:left w:type="dxa" w:w="160"/>
              <w:bottom w:type="dxa" w:w="120"/>
              <w:right w:type="dxa" w:w="160"/>
            </w:tcMar>
          </w:tcPr>
          <w:p>
            <w:pPr>
              <w:spacing w:after="60"/>
            </w:pPr>
            <w:r>
              <w:rPr>
                <w:b/>
                <w:bCs/>
                <w:color w:val="B45309"/>
              </w:rPr>
              <w:t xml:space="preserve">Explosividad frente a toxicidad</w:t>
            </w:r>
          </w:p>
          <w:p>
            <w:r>
              <w:t xml:space="preserve">El MPS cubre el riesgo de explosión, no el tóxico. Para sustancias tóxicas se requiere la celda electroquímica correspondiente. Las alarmas A1 (20 %) y A2 (40 %) son valores habituales de configuración; verifique los de su equipo.</w:t>
            </w:r>
          </w:p>
        </w:tc>
      </w:tr>
    </w:tbl>
    <w:p>
      <w:r>
        <w:br w:type="page"/>
      </w:r>
    </w:p>
    <w:p>
      <w:pPr>
        <w:pStyle w:val="Heading1"/>
      </w:pPr>
      <w:r>
        <w:t xml:space="preserve">5. Identificación por número ONU</w:t>
      </w:r>
    </w:p>
    <w:p>
      <w:pPr>
        <w:spacing w:after="120"/>
      </w:pPr>
      <w:r>
        <w:t xml:space="preserve">Cuando la sustancia se conoce documentalmente (panel naranja, carta de porte, etiqueta), su número ONU permite cargar directamente sus propiedades y preparar la medición.</w:t>
      </w:r>
    </w:p>
    <w:p>
      <w:pPr>
        <w:pStyle w:val="Heading2"/>
      </w:pPr>
      <w:r>
        <w:t xml:space="preserve">5.1 Qué hace al introducir el ONU</w:t>
      </w:r>
    </w:p>
    <w:p>
      <w:pPr>
        <w:pStyle w:val="ListParagraph"/>
        <w:numPr>
          <w:ilvl w:val="0"/>
          <w:numId w:val="3"/>
        </w:numPr>
        <w:spacing w:after="60"/>
      </w:pPr>
      <w:r>
        <w:t xml:space="preserve">Carga las propiedades fisicoquímicas: peso molecular, densidad de vapor relativa al aire, estado físico, comportamiento (gas pesado que sigue el terreno o ligero que asciende), umbral AEGL-3 y guía ERG.</w:t>
      </w:r>
    </w:p>
    <w:p>
      <w:pPr>
        <w:pStyle w:val="ListParagraph"/>
        <w:numPr>
          <w:ilvl w:val="0"/>
          <w:numId w:val="3"/>
        </w:numPr>
        <w:spacing w:after="60"/>
      </w:pPr>
      <w:r>
        <w:t xml:space="preserve">Identifica y resalta el sensor principal que mide ese gas en el detector, junto con los canales que pueden presentar respuesta cruzada.</w:t>
      </w:r>
    </w:p>
    <w:p>
      <w:pPr>
        <w:pStyle w:val="ListParagraph"/>
        <w:numPr>
          <w:ilvl w:val="0"/>
          <w:numId w:val="3"/>
        </w:numPr>
        <w:spacing w:after="60"/>
      </w:pPr>
      <w:r>
        <w:t xml:space="preserve">Autoselecciona la configuración del detector que incluye ese canal si la activa no lo tiene.</w:t>
      </w:r>
    </w:p>
    <w:p>
      <w:pPr>
        <w:pStyle w:val="ListParagraph"/>
        <w:numPr>
          <w:ilvl w:val="0"/>
          <w:numId w:val="3"/>
        </w:numPr>
        <w:spacing w:after="60"/>
      </w:pPr>
      <w:r>
        <w:t xml:space="preserve">Ofrece entrada manual de concentración, imprescindible para compuestos sin celda directa (fosgeno, formaldehído, ozono), recomendando tubo colorimétrico o PID con factor de corrección.</w:t>
      </w:r>
    </w:p>
    <w:p>
      <w:pPr>
        <w:pStyle w:val="ListParagraph"/>
        <w:numPr>
          <w:ilvl w:val="0"/>
          <w:numId w:val="3"/>
        </w:numPr>
        <w:spacing w:after="60"/>
      </w:pPr>
      <w:r>
        <w:t xml:space="preserve">Con «Analizar», fuerza ese compuesto con prioridad máxima: la identificación documental prevalece sobre la inferencia de firma.</w:t>
      </w:r>
    </w:p>
    <w:p>
      <w:pPr>
        <w:pStyle w:val="Heading2"/>
      </w:pPr>
      <w:r>
        <w:t xml:space="preserve">5.2 Propiedades fisicoquímicas incorporadas</w:t>
      </w:r>
    </w:p>
    <w:p>
      <w:pPr>
        <w:spacing w:after="120"/>
      </w:pPr>
      <w:r>
        <w:t xml:space="preserve">La base incluye, entre otros: Cl₂, NH₃, H₂S, HCN, SO₂, HF, CO, HCl, NO₂, O₃, formaldehído, fosgeno, peróxido de hidrógeno, mercaptanos, H₂, gas natural, propano y butano. Cada uno con peso molecular y densidad de vapor para los cálculos de conversión y comportamiento.</w:t>
      </w:r>
    </w:p>
    <w:p>
      <w:r>
        <w:br w:type="page"/>
      </w:r>
    </w:p>
    <w:p>
      <w:pPr>
        <w:pStyle w:val="Heading1"/>
      </w:pPr>
      <w:r>
        <w:t xml:space="preserve">6. Modelización de la pluma</w:t>
      </w:r>
    </w:p>
    <w:p>
      <w:pPr>
        <w:spacing w:after="120"/>
      </w:pPr>
      <w:r>
        <w:t xml:space="preserve">La aplicación ofrece tres niveles de modelización, de menor a mayor sofisticación, todos como apoyo orientativo.</w:t>
      </w:r>
    </w:p>
    <w:p>
      <w:pPr>
        <w:pStyle w:val="Heading2"/>
      </w:pPr>
      <w:r>
        <w:t xml:space="preserve">6.1 Modelo geométrico (orientativo)</w:t>
      </w:r>
    </w:p>
    <w:p>
      <w:pPr>
        <w:spacing w:after="120"/>
      </w:pPr>
      <w:r>
        <w:t xml:space="preserve">Decaimiento de concentración hacia los isopletos AEGL-1/2/3, modulado por viento y escala de sector, con anclaje en la Tabla 1 del ERG 2024 (aislamiento inicial y distancias de acción protectora día/noche).</w:t>
      </w:r>
    </w:p>
    <w:p>
      <w:pPr>
        <w:pStyle w:val="Heading2"/>
      </w:pPr>
      <w:r>
        <w:t xml:space="preserve">6.2 Modelo gaussiano (Pasquill-Gifford + Briggs)</w:t>
      </w:r>
    </w:p>
    <w:p>
      <w:pPr>
        <w:spacing w:after="120"/>
      </w:pPr>
      <w:r>
        <w:t xml:space="preserve">Modelo de pluma continua a nivel del suelo con reflexión. A partir de la lectura del detector y la distancia al foco, estima la tasa de emisión Q por cálculo inverso, y proyecta las distancias a cada umbral AEGL aguas abajo. Un selector permite forzar el modelo gaussiano, el de gas denso, o dejarlo en automático (gas denso si la densidad de vapor supera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Parámetro</w:t>
            </w:r>
          </w:p>
        </w:tc>
        <w:tc>
          <w:tcPr>
            <w:tcW w:type="dxa" w:w="676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Descripción</w:t>
            </w:r>
          </w:p>
        </w:tc>
      </w:tr>
      <w:tr>
        <w:tc>
          <w:tcPr>
            <w:tcW w:type="dxa" w:w="26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Estabilidad Pasquill</w:t>
            </w:r>
          </w:p>
        </w:tc>
        <w:tc>
          <w:tcPr>
            <w:tcW w:type="dxa" w:w="67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Clases A (muy inestable) a F (muy estable), automática según viento, día/noche e insolación, o manual.</w:t>
            </w:r>
          </w:p>
        </w:tc>
      </w:tr>
      <w:tr>
        <w:tc>
          <w:tcPr>
            <w:tcW w:type="dxa" w:w="26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Rugosidad</w:t>
            </w:r>
          </w:p>
        </w:tc>
        <w:tc>
          <w:tcPr>
            <w:tcW w:type="dxa" w:w="67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Coeficientes de Briggs rural o urbano.</w:t>
            </w:r>
          </w:p>
        </w:tc>
      </w:tr>
      <w:tr>
        <w:tc>
          <w:tcPr>
            <w:tcW w:type="dxa" w:w="26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Modelo de gas denso</w:t>
            </w:r>
          </w:p>
        </w:tc>
        <w:tc>
          <w:tcPr>
            <w:tcW w:type="dxa" w:w="67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Corrección de Britter-McQuaid (la física que usa ALOHA): para densidad de vapor &gt; 1 alarga el alcance a baja cota y ensancha la huella respecto al gaussiano pasivo.</w:t>
            </w:r>
          </w:p>
        </w:tc>
      </w:tr>
      <w:tr>
        <w:tc>
          <w:tcPr>
            <w:tcW w:type="dxa" w:w="26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Salida</w:t>
            </w:r>
          </w:p>
        </w:tc>
        <w:tc>
          <w:tcPr>
            <w:tcW w:type="dxa" w:w="67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Q estimada (kg/h) y distancias AEGL-1/2/3.</w:t>
            </w:r>
          </w:p>
        </w:tc>
      </w:tr>
    </w:tbl>
    <w:p>
      <w:pPr>
        <w:spacing w:after="80"/>
      </w:pPr>
      <w:r>
        <w:t xml:space="preserve"/>
      </w:r>
    </w:p>
    <w:p>
      <w:pPr>
        <w:pStyle w:val="Heading2"/>
      </w:pPr>
      <w:r>
        <w:t xml:space="preserve">6.3 Modelo de gas denso (aproximación tipo ALOHA)</w:t>
      </w:r>
    </w:p>
    <w:p>
      <w:pPr>
        <w:spacing w:after="120"/>
      </w:pPr>
      <w:r>
        <w:t xml:space="preserve">Para gases más pesados que el aire (cloro, dióxido de azufre, fosgeno, hidrocarburos pesados), la app aplica la correlación de Britter-McQuaid, basada en el número de Richardson de la fuente. Es la misma física que emplea ALOHA para gas pesado: la nube se mantiene a ras de suelo, se diluye más despacio y produce zonas más largas y más anchas que un gaussiano pasivo. Se presenta como una corrección acotada y trazable sobre el gaussiano, no como un modelo independiente certificado.</w:t>
      </w:r>
    </w:p>
    <w:p>
      <w:pPr>
        <w:pStyle w:val="Heading2"/>
      </w:pPr>
      <w:r>
        <w:t xml:space="preserve">6.4 Deposición y lavado de la nube (deplección)</w:t>
      </w:r>
    </w:p>
    <w:p>
      <w:pPr>
        <w:spacing w:after="120"/>
      </w:pPr>
      <w:r>
        <w:t xml:space="preserve">Opcionalmente, la aplicación contempla que la nube pierde masa al avanzar, lo que reduce la concentración aguas abajo. Es un refinamiento que se activa con un interruptor en la pantalla de Zonas y está apagado por defecto, porque acorta las distancias de peligro y el criterio por defecto debe ser conservador (como ALOHA). Cuando está activo, los resultados lo indican expresamente.</w:t>
      </w:r>
    </w:p>
    <w:p>
      <w:pPr>
        <w:spacing w:after="120"/>
      </w:pPr>
      <w:r>
        <w:t xml:space="preserve">Deposición seca: modelo de «source depletion» de Chamberlain para fuente a ras de suelo, que descuenta del caudal efectivo la fracción depositada sobre el suelo y la vegetación a lo largo del recorrido, integrando la dispersión vertical de la pluma. Cada sustancia tiene una velocidad de deposición propia: alta en gases reactivos o muy solubles (cloro, ácido fluorhídrico, amoniaco, dióxido de azufre, óxidos de nitrógeno, ácidos) y casi nula en hidrocarburos e inertes. El efecto es pequeño cerca del foco y crece con la distancia.</w:t>
      </w:r>
    </w:p>
    <w:p>
      <w:pPr>
        <w:spacing w:after="120"/>
      </w:pPr>
      <w:r>
        <w:t xml:space="preserve">Lavado por lluvia (washout): cuando hay precipitación, la lluvia arrastra el gas hacia el suelo. Se modela como una eliminación de primer orden a lo largo del recorrido, con un coeficiente de lavado proporcional a la intensidad de lluvia (mm/h) y a la solubilidad del gas. El campo de lluvia se autorrellena con la meteorología (precipitación de Open-Meteo) y puede ajustarse a mano. Para gases muy solubles y lluvia moderada, el lavado recorta las zonas lejanas de forma apreciable, bastante más que la deposición seca; en gases poco solubles apenas tiene efecto.</w:t>
      </w:r>
    </w:p>
    <w:p>
      <w:pPr>
        <w:pStyle w:val="Heading2"/>
      </w:pPr>
      <w:r>
        <w:t xml:space="preserve">6.5 Modelo dinámico de puffs con topografía</w:t>
      </w:r>
    </w:p>
    <w:p>
      <w:pPr>
        <w:spacing w:after="120"/>
      </w:pPr>
      <w:r>
        <w:t xml:space="preserve">La fuente emite paquetes de gas a intervalos; cada puff se advecta con el viento y crece según la dispersión Pasquill, paso a paso. El resultado es un reproductor temporal (+5/10/15/20/30 min) que muestra la evolución de la nube, el frente de llegada y el efecto de un rol de viento.</w:t>
      </w:r>
    </w:p>
    <w:p>
      <w:pPr>
        <w:spacing w:after="120"/>
      </w:pPr>
      <w:r>
        <w:t xml:space="preserve">La topografía se descarga como modelo de elevación (DEM) real y se superpone al mapa. Para gases densos, los puffs se desvían hacia las cotas bajas (canalización por gravedad).</w:t>
      </w:r>
    </w:p>
    <w:p>
      <w:pPr>
        <w:pStyle w:val="Heading2"/>
      </w:pPr>
      <w:r>
        <w:t xml:space="preserve">6.6 Vista de planta y perfil de la pluma</w:t>
      </w:r>
    </w:p>
    <w:p>
      <w:pPr>
        <w:spacing w:after="120"/>
      </w:pPr>
      <w:r>
        <w:t xml:space="preserve">Junto al mapa, un cuadro partido muestra la pluma en planta (cenital) y en perfil (alzado), sincronizados con el reproductor temporal. El perfil representa la envolvente vertical de la nube con física diferenciada según su densidad efectiva:</w:t>
      </w:r>
    </w:p>
    <w:p>
      <w:pPr>
        <w:pStyle w:val="ListParagraph"/>
        <w:numPr>
          <w:ilvl w:val="0"/>
          <w:numId w:val="2"/>
        </w:numPr>
        <w:spacing w:after="60"/>
      </w:pPr>
      <w:r>
        <w:t xml:space="preserve">Gases densos (vapor más pesado que el aire): la nube se mantiene a ras de suelo, con dispersión vertical suprimida (no asciende) y ensanchamiento lateral por gravedad (slumping). Es el comportamiento de líquido-gas pesado que sigue el terreno.</w:t>
      </w:r>
    </w:p>
    <w:p>
      <w:pPr>
        <w:pStyle w:val="ListParagraph"/>
        <w:numPr>
          <w:ilvl w:val="0"/>
          <w:numId w:val="2"/>
        </w:numPr>
        <w:spacing w:after="60"/>
      </w:pPr>
      <w:r>
        <w:t xml:space="preserve">Gases neutros: dispersión vertical pasiva normal (≈ 2·σz).</w:t>
      </w:r>
    </w:p>
    <w:p>
      <w:pPr>
        <w:pStyle w:val="ListParagraph"/>
        <w:numPr>
          <w:ilvl w:val="0"/>
          <w:numId w:val="2"/>
        </w:numPr>
        <w:spacing w:after="60"/>
      </w:pPr>
      <w:r>
        <w:t xml:space="preserve">Gases ligeros: la nube se eleva y despega del suelo.</w:t>
      </w:r>
    </w:p>
    <w:p>
      <w:pPr>
        <w:spacing w:after="120"/>
      </w:pPr>
      <w:r>
        <w:t xml:space="preserve">La densidad efectiva incorpora la temperatura y la humedad: un gas frío es más denso y un aire húmedo realza el contraste de densidad, de modo que un mismo gas pesado se achata y ensancha más en condiciones frías y húmedas. Tanto en planta como en perfil se sombrean las zonas con el código de colores de la EPA: roja (caliente), naranja (templada) y amarilla (fría), con sus líneas de límite a las distancias calculadas.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6BA8" w:sz="1"/>
              <w:left w:val="single" w:color="0E6BA8" w:sz="24"/>
              <w:bottom w:val="single" w:color="0E6BA8" w:sz="1"/>
              <w:right w:val="single" w:color="0E6BA8" w:sz="1"/>
            </w:tcBorders>
            <w:shd w:fill="EAF2F8" w:val="clear"/>
            <w:tcMar>
              <w:top w:type="dxa" w:w="120"/>
              <w:left w:type="dxa" w:w="160"/>
              <w:bottom w:type="dxa" w:w="120"/>
              <w:right w:type="dxa" w:w="160"/>
            </w:tcMar>
          </w:tcPr>
          <w:p>
            <w:pPr>
              <w:spacing w:after="60"/>
            </w:pPr>
            <w:r>
              <w:rPr>
                <w:b/>
                <w:bCs/>
                <w:color w:val="0E6BA8"/>
              </w:rPr>
              <w:t xml:space="preserve">Corrección de comportamiento</w:t>
            </w:r>
          </w:p>
          <w:p>
            <w:r>
              <w:t xml:space="preserve">Las versiones anteriores podían representar la nube de un gas denso ascendiendo, lo que es físicamente incorrecto. El perfil actual ancla los gases densos al suelo y reserva la elevación para los gases ligeros.</w:t>
            </w:r>
          </w:p>
        </w:tc>
      </w:tr>
    </w:tbl>
    <w:p>
      <w:pPr>
        <w:pStyle w:val="Heading2"/>
      </w:pPr>
      <w:r>
        <w:t xml:space="preserve">6.6 Fase de jet en fugas a presión</w:t>
      </w:r>
    </w:p>
    <w:p>
      <w:pPr>
        <w:spacing w:after="120"/>
      </w:pPr>
      <w:r>
        <w:t xml:space="preserve">Cuando la fuga procede de un contenedor a presión (cisterna presurizada, cilindro, gas licuado), el perfil de la pluma reproduce las tres fases físicas de un chorro:</w:t>
      </w:r>
    </w:p>
    <w:p>
      <w:pPr>
        <w:pStyle w:val="ListParagraph"/>
        <w:numPr>
          <w:ilvl w:val="0"/>
          <w:numId w:val="3"/>
        </w:numPr>
        <w:spacing w:after="60"/>
      </w:pPr>
      <w:r>
        <w:t xml:space="preserve">Fase de jet: cerca del foco, el momento de salida impulsa el gas hacia arriba. La altura sube hasta un máximo cuya cota y distancia crecen con la presión de transporte.</w:t>
      </w:r>
    </w:p>
    <w:p>
      <w:pPr>
        <w:pStyle w:val="ListParagraph"/>
        <w:numPr>
          <w:ilvl w:val="0"/>
          <w:numId w:val="3"/>
        </w:numPr>
        <w:spacing w:after="60"/>
      </w:pPr>
      <w:r>
        <w:t xml:space="preserve">Transición: el chorro pierde momento, arrastra aire y la altura decae con la distancia.</w:t>
      </w:r>
    </w:p>
    <w:p>
      <w:pPr>
        <w:pStyle w:val="ListParagraph"/>
        <w:numPr>
          <w:ilvl w:val="0"/>
          <w:numId w:val="3"/>
        </w:numPr>
        <w:spacing w:after="60"/>
      </w:pPr>
      <w:r>
        <w:t xml:space="preserve">Dispersión pasiva: ya sin momento, gobierna la densidad efectiva. Un gas denso vuelve a caer al suelo; un gas ligero o calentado vuelve a ascender por flotabilidad; un gas neutro se dispersa según Pasquill.</w:t>
      </w:r>
    </w:p>
    <w:p>
      <w:pPr>
        <w:spacing w:after="120"/>
      </w:pPr>
      <w:r>
        <w:t xml:space="preserve">La presión de transporte se infiere del contenedor seleccionado y de las propiedades de la sustancia, y determina tanto la velocidad de salida (ecuación de descarga) como la altura y el alcance del chorro. El diagrama señala la fase de jet cuando está activa.</w:t>
      </w:r>
    </w:p>
    <w:p>
      <w:pPr>
        <w:pStyle w:val="Heading2"/>
      </w:pPr>
      <w:r>
        <w:t xml:space="preserve">6.7 Influencia del terreno en la planta y el perfil</w:t>
      </w:r>
    </w:p>
    <w:p>
      <w:pPr>
        <w:spacing w:after="120"/>
      </w:pPr>
      <w:r>
        <w:t xml:space="preserve">Cuando se ha cargado la topografía (modelo digital de elevaciones), un gas denso que se comporta como líquido fluye siguiendo el relieve, y ello se refleja en las dos vistas de la pluma. En el perfil, el suelo deja de ser una línea plana y dibuja el relieve real bajo la trayectoria: la nube se asienta sobre esa cota variable, baja con el terreno en las vallonadas y depresiones (donde el gas se hunde y acumula) y sube al remontar elevaciones. En la planta, la anchura se modula con el relieve: el gas denso se ensancha en las depresiones (se estanca) y se estrecha al cruzar elevaciones. La cuadrícula de elevación se dimensiona automáticamente al alcance previsto de la pluma en treinta minutos según el viento, para cubrir toda la zona de dispersión.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45309" w:sz="1"/>
              <w:left w:val="single" w:color="B45309" w:sz="24"/>
              <w:bottom w:val="single" w:color="B45309" w:sz="1"/>
              <w:right w:val="single" w:color="B45309" w:sz="1"/>
            </w:tcBorders>
            <w:shd w:fill="EAF2F8" w:val="clear"/>
            <w:tcMar>
              <w:top w:type="dxa" w:w="120"/>
              <w:left w:type="dxa" w:w="160"/>
              <w:bottom w:type="dxa" w:w="120"/>
              <w:right w:type="dxa" w:w="160"/>
            </w:tcMar>
          </w:tcPr>
          <w:p>
            <w:pPr>
              <w:spacing w:after="60"/>
            </w:pPr>
            <w:r>
              <w:rPr>
                <w:b/>
                <w:bCs/>
                <w:color w:val="B45309"/>
              </w:rPr>
              <w:t xml:space="preserve">Resolución del terreno</w:t>
            </w:r>
          </w:p>
          <w:p>
            <w:r>
              <w:t xml:space="preserve">El modelo de elevación tiene una resolución de cientos de metros; capta valles y montes, no accidentes finos. La forma del comportamiento (el gas baja, se estanca, se ensancha en los bajos) es correcta, pero las cotas y anchuras exactas son orientativas.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1C1C" w:sz="1"/>
              <w:left w:val="single" w:color="B91C1C" w:sz="24"/>
              <w:bottom w:val="single" w:color="B91C1C" w:sz="1"/>
              <w:right w:val="single" w:color="B91C1C" w:sz="1"/>
            </w:tcBorders>
            <w:shd w:fill="EAF2F8" w:val="clear"/>
            <w:tcMar>
              <w:top w:type="dxa" w:w="120"/>
              <w:left w:type="dxa" w:w="160"/>
              <w:bottom w:type="dxa" w:w="120"/>
              <w:right w:type="dxa" w:w="160"/>
            </w:tcMar>
          </w:tcPr>
          <w:p>
            <w:pPr>
              <w:spacing w:after="60"/>
            </w:pPr>
            <w:r>
              <w:rPr>
                <w:b/>
                <w:bCs/>
                <w:color w:val="B91C1C"/>
              </w:rPr>
              <w:t xml:space="preserve">Alcance honesto del modelo</w:t>
            </w:r>
          </w:p>
          <w:p>
            <w:pPr>
              <w:spacing w:after="60"/>
            </w:pPr>
            <w:r>
              <w:t xml:space="preserve">El modelo de puffs es un modelo lagrangiano real para advección, dispersión y rol de viento, muy superior a la cuña estática. La corrección de gas denso reproduce la física de Britter-McQuaid que usa ALOHA.</w:t>
            </w:r>
          </w:p>
          <w:p>
            <w:r>
              <w:rPr>
                <w:i/>
                <w:iCs/>
              </w:rPr>
              <w:t xml:space="preserve">Ni la corrección de gas denso ni la canalización topográfica equivalen a ALOHA, DEGADIS, SLAB ni a un CFD. Son aproximaciones para anticipar tendencias (hacia dónde tirará o girará la nube, cuánto más lejos llega un gas pesado), no predicción métrica exacta. Para la valoración oficial, use ALOHA e importe su huella.</w:t>
            </w:r>
          </w:p>
        </w:tc>
      </w:tr>
    </w:tbl>
    <w:p>
      <w:r>
        <w:br w:type="page"/>
      </w:r>
    </w:p>
    <w:p>
      <w:pPr>
        <w:pStyle w:val="Heading1"/>
      </w:pPr>
      <w:r>
        <w:t xml:space="preserve">7. Interoperabilidad con ALOHA y meteorología</w:t>
      </w:r>
    </w:p>
    <w:p>
      <w:pPr>
        <w:pStyle w:val="Heading2"/>
      </w:pPr>
      <w:r>
        <w:t xml:space="preserve">7.1 Importar la huella de ALOHA (KML)</w:t>
      </w:r>
    </w:p>
    <w:p>
      <w:pPr>
        <w:spacing w:after="120"/>
      </w:pPr>
      <w:r>
        <w:t xml:space="preserve">ALOHA es un programa de escritorio de la NOAA/EPA; no tiene servicio web, por lo que no puede llamarse en vivo. La app permite, en su lugar, importar la zona de amenaza que ALOHA exporta como KML (vía MARPLOT o Google Earth). Las zonas se dibujan sobre el mapa con los colores de ALOHA (rojo, naranja, amarillo por nivel), junto a las zonas propias. Si el KML viene con coordenadas relativas al origen, se reubica en el punto del incidente. Así se usa el ALOHA real en el PC para la valoración oficial y se trae el resultado a la herramienta de campo.</w:t>
      </w:r>
    </w:p>
    <w:p>
      <w:pPr>
        <w:pStyle w:val="Heading2"/>
      </w:pPr>
      <w:r>
        <w:t xml:space="preserve">7.2 Meteorología automática y evolución prevista</w:t>
      </w:r>
    </w:p>
    <w:p>
      <w:pPr>
        <w:spacing w:after="120"/>
      </w:pPr>
      <w:r>
        <w:t xml:space="preserve">Con un toque, la aplicación obtiene la posición GPS y descarga de Open-Meteo el viento, temperatura, humedad, presión y visibilidad de esa coordenada, rellenando los campos y trazando la pluma automáticamente.</w:t>
      </w:r>
    </w:p>
    <w:p>
      <w:pPr>
        <w:spacing w:after="120"/>
      </w:pPr>
      <w:r>
        <w:t xml:space="preserve">Además descarga el pronóstico horario y proyecta hacia dónde apuntará la pluma a +15 y +30 minutos. Si prevé un rol de viento de 30° por hora o más, emite el aviso «ROL DE VIENTO PREVISTO» indicando el nuevo sector a sotavento, para permitir la evacuación preventiva antes de que llegue el gas.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45309" w:sz="1"/>
              <w:left w:val="single" w:color="B45309" w:sz="24"/>
              <w:bottom w:val="single" w:color="B45309" w:sz="1"/>
              <w:right w:val="single" w:color="B45309" w:sz="1"/>
            </w:tcBorders>
            <w:shd w:fill="EAF2F8" w:val="clear"/>
            <w:tcMar>
              <w:top w:type="dxa" w:w="120"/>
              <w:left w:type="dxa" w:w="160"/>
              <w:bottom w:type="dxa" w:w="120"/>
              <w:right w:type="dxa" w:w="160"/>
            </w:tcMar>
          </w:tcPr>
          <w:p>
            <w:pPr>
              <w:spacing w:after="60"/>
            </w:pPr>
            <w:r>
              <w:rPr>
                <w:b/>
                <w:bCs/>
                <w:color w:val="B45309"/>
              </w:rPr>
              <w:t xml:space="preserve">Vigencia</w:t>
            </w:r>
          </w:p>
          <w:p>
            <w:r>
              <w:t xml:space="preserve">Los umbrales AEGL son a 60 minutos y el viento puede rolar. Reobtenga la meteorología periódicamente y vigile el temporizador de reevaluación.</w:t>
            </w:r>
          </w:p>
        </w:tc>
      </w:tr>
    </w:tbl>
    <w:p>
      <w:r>
        <w:br w:type="page"/>
      </w:r>
    </w:p>
    <w:p>
      <w:pPr>
        <w:pStyle w:val="Heading1"/>
      </w:pPr>
      <w:r>
        <w:t xml:space="preserve">8. Utilidades operativas</w:t>
      </w:r>
    </w:p>
    <w:p>
      <w:pPr>
        <w:pStyle w:val="Heading2"/>
      </w:pPr>
      <w:r>
        <w:t xml:space="preserve">8.1 Estimación del tamaño del derrame y de la concentración</w:t>
      </w:r>
    </w:p>
    <w:p>
      <w:pPr>
        <w:spacing w:after="120"/>
      </w:pPr>
      <w:r>
        <w:t xml:space="preserve">El escenario ERG ofrece cinco tamaños predefinidos (goteo, pequeña, media, grande y catastrófica) más una opción de estimación a partir del diámetro del orificio y el tiempo de fuga. Esta estimación es además la vía para obtener una concentración orientativa cuando ningún sensor puede medir la sustancia (caso «imposible detectar»).</w:t>
      </w:r>
    </w:p>
    <w:p>
      <w:pPr>
        <w:spacing w:after="120"/>
      </w:pPr>
      <w:r>
        <w:t xml:space="preserve">La cadena de cálculo es: orificio y presión → caudal → emisión másica → dispersión gaussiana inversa → concentración (ppm). En detalle:</w:t>
      </w:r>
    </w:p>
    <w:p>
      <w:pPr>
        <w:pStyle w:val="ListParagraph"/>
        <w:numPr>
          <w:ilvl w:val="0"/>
          <w:numId w:val="3"/>
        </w:numPr>
        <w:spacing w:after="60"/>
      </w:pPr>
      <w:r>
        <w:t xml:space="preserve">Caudal por el orificio: con presión, mediante la ecuación de descarga de Bernoulli v=√(2·ΔP/ρ) usando la presión de transporte real; sin presión, por Torricelli con columna hidrostática. Los gases licuados, comprimidos o disueltos a presión (cloro, amoniaco, dióxido de azufre, sulfuro de hidrógeno, fosgeno, acetileno…) se reconocen como fuente a presión a partir de su presión de vapor real, de modo que generan caudal por chorro aunque no se forme charco.</w:t>
      </w:r>
    </w:p>
    <w:p>
      <w:pPr>
        <w:pStyle w:val="ListParagraph"/>
        <w:numPr>
          <w:ilvl w:val="0"/>
          <w:numId w:val="3"/>
        </w:numPr>
        <w:spacing w:after="60"/>
      </w:pPr>
      <w:r>
        <w:t xml:space="preserve">Evaporación del charco: basada en la presión de vapor real de la sustancia a la temperatura indicada (se duplica aproximadamente cada doce grados, según Clausius-Clapeyron linealizado). Así una gasolina evapora mucho y un gasóleo o un ácido sulfúrico apenas, como en la realidad. Para líquidos muy volátiles a presión atmosférica (HF, HCN, NO₂, mercaptanos) cuyo charco no se haya medido, la aplicación lo estima a partir del volumen fugado, de modo que la evaporación no resulte nula por falta de dato. En esa autoestimación se aplica además una fracción de retención del terreno (suelo permeable rural ×0,45; pavimento urbano ×0,70): no todo el líquido fugado forma charco evaporante, pues parte se absorbe o drena en el terreno y parte se evapora antes de estabilizarse. Si el operador mide el diámetro del charco, se respeta su medida sin aplicar la retención.</w:t>
      </w:r>
    </w:p>
    <w:p>
      <w:pPr>
        <w:pStyle w:val="ListParagraph"/>
        <w:numPr>
          <w:ilvl w:val="0"/>
          <w:numId w:val="3"/>
        </w:numPr>
        <w:spacing w:after="60"/>
      </w:pPr>
      <w:r>
        <w:t xml:space="preserve">Fracción en volumen y dilución: en saturación, la fracción de vapor sobre el charco es la presión de vapor dividida por la atmosférica (ley de Dalton), lo que da el porcentaje en volumen y su tope físico. El vapor evaporado se diluye en el caudal de aire que barre el charco (viento por anchura por altura de mezcla).</w:t>
      </w:r>
    </w:p>
    <w:p>
      <w:pPr>
        <w:pStyle w:val="ListParagraph"/>
        <w:numPr>
          <w:ilvl w:val="0"/>
          <w:numId w:val="3"/>
        </w:numPr>
        <w:spacing w:after="60"/>
      </w:pPr>
      <w:r>
        <w:t xml:space="preserve">Concentración en ppm: de la concentración resultante en ese aire, limitada por la saturación para que nunca dé un valor imposible. Para una fuga a presión, en cambio, se emplea la dispersión del jet; la aplicación toma el mecanismo dominante.</w:t>
      </w:r>
    </w:p>
    <w:p>
      <w:pPr>
        <w:spacing w:after="120"/>
      </w:pPr>
      <w:r>
        <w:t xml:space="preserve">La salida muestra el mecanismo dominante (evaporación de charco o fuga a presión), la presión de vapor a la temperatura real, la fracción en volumen de saturación, la evaporación en gramos por segundo, el caudal de aire de dilución y el resultado en ppm y en porcentaje en volumen.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45309" w:sz="1"/>
              <w:left w:val="single" w:color="B45309" w:sz="24"/>
              <w:bottom w:val="single" w:color="B45309" w:sz="1"/>
              <w:right w:val="single" w:color="B45309" w:sz="1"/>
            </w:tcBorders>
            <w:shd w:fill="EAF2F8" w:val="clear"/>
            <w:tcMar>
              <w:top w:type="dxa" w:w="120"/>
              <w:left w:type="dxa" w:w="160"/>
              <w:bottom w:type="dxa" w:w="120"/>
              <w:right w:type="dxa" w:w="160"/>
            </w:tcMar>
          </w:tcPr>
          <w:p>
            <w:pPr>
              <w:spacing w:after="60"/>
            </w:pPr>
            <w:r>
              <w:rPr>
                <w:b/>
                <w:bCs/>
                <w:color w:val="B45309"/>
              </w:rPr>
              <w:t xml:space="preserve">Anclado en la volatilidad</w:t>
            </w:r>
          </w:p>
          <w:p>
            <w:r>
              <w:t xml:space="preserve">La concentración se obtiene de la volatilidad de la sustancia y su dilución en el aire, no de un caudal másico abstracto: por eso un ácido sulfúrico (que apenas humea) da una concentración de vapor casi nula y una gasolina da cientos o miles de ppm que crecen con la temperatura. Es una estimación de gabinete; ante la duda, aplique el método más restrictivo y confirme en campo.</w:t>
            </w:r>
          </w:p>
        </w:tc>
      </w:tr>
    </w:tbl>
    <w:p>
      <w:pPr>
        <w:pStyle w:val="Heading2"/>
      </w:pPr>
      <w:r>
        <w:t xml:space="preserve">8.2 Reanálisis en un toque (cuatro vías)</w:t>
      </w:r>
    </w:p>
    <w:p>
      <w:pPr>
        <w:spacing w:after="120"/>
      </w:pPr>
      <w:r>
        <w:t xml:space="preserve">Un botón flotante de reanálisis, presente en el menú de operación y en la pantalla de análisis, permite recalcular la situación sin rehacer toda la intervención, por cuatro vías: por nueva lectura de sensor (se introduce la concentración actual), por charco (se varía el diámetro del charco, la temperatura y la distancia del detector), por fuga (se varía el orificio y el tiempo) y por forzado de la meteorología (se sustituyen viento, dirección, temperatura y humedad). Cualquiera de ellas recalcula el nivel de riesgo, las zonas, el dictamen y la orden, y deja constancia en el registro. Es la herramienta para mantener la imagen actualizada conforme evoluciona la intervención.</w:t>
      </w:r>
    </w:p>
    <w:p>
      <w:pPr>
        <w:pStyle w:val="Heading2"/>
      </w:pPr>
      <w:r>
        <w:t xml:space="preserve">8.3 Temporizador de reevaluación AEGL</w:t>
      </w:r>
    </w:p>
    <w:p>
      <w:pPr>
        <w:spacing w:after="120"/>
      </w:pPr>
      <w:r>
        <w:t xml:space="preserve">Cuenta atrás de 60 minutos que arranca con el análisis; avisa en los últimos cinco minutos de que la atmósfera debe reevaluarse, ya que los umbrales AEGL son a 60 minutos.</w:t>
      </w:r>
    </w:p>
    <w:p>
      <w:pPr>
        <w:pStyle w:val="Heading2"/>
      </w:pPr>
      <w:r>
        <w:t xml:space="preserve">8.4 Registro de la intervención</w:t>
      </w:r>
    </w:p>
    <w:p>
      <w:pPr>
        <w:spacing w:after="120"/>
      </w:pPr>
      <w:r>
        <w:t xml:space="preserve">Cada análisis se registra automáticamente con hora, gas, concentración, nivel, viento y coordenadas. Exportable como texto o impresión/PDF.</w:t>
      </w:r>
    </w:p>
    <w:p>
      <w:pPr>
        <w:pStyle w:val="Heading2"/>
      </w:pPr>
      <w:r>
        <w:t xml:space="preserve">8.5 Compartir y enlace COP</w:t>
      </w:r>
    </w:p>
    <w:p>
      <w:pPr>
        <w:spacing w:after="120"/>
      </w:pPr>
      <w:r>
        <w:t xml:space="preserve">El dictamen puede compartirse como texto (copia, WhatsApp, SMS) o como enlace COP (Common Operating Picture): un enlace autocontenido —sin servidor— que codifica el estado operativo en la propia URL. Quien lo abre ve una imagen operativa de solo lectura con el nivel, las zonas, el viento y la posición, liberando la frecuencia de radio.</w:t>
      </w:r>
    </w:p>
    <w:p>
      <w:pPr>
        <w:pStyle w:val="Heading2"/>
      </w:pPr>
      <w:r>
        <w:t xml:space="preserve">8.6 Refresco automático y evolución sobre el mapa</w:t>
      </w:r>
    </w:p>
    <w:p>
      <w:pPr>
        <w:spacing w:after="120"/>
      </w:pPr>
      <w:r>
        <w:t xml:space="preserve">La meteorología puede refrescarse automáticamente cada quince minutos: cada ciclo actualiza el viento, redibuja la pluma, recentra el mapa y deja constancia en el registro. Durante la simulación dinámica, la nube deja sobre la cartografía el rastro de su evolución (los pasos anteriores en trazo tenue y el actual resaltado), y el mapa hace autozoom para encuadrar la pluma a medida que crece.</w:t>
      </w:r>
    </w:p>
    <w:p>
      <w:pPr>
        <w:pStyle w:val="Heading2"/>
      </w:pPr>
      <w:r>
        <w:t xml:space="preserve">8.7 Persistencia, modo guante y brújula</w:t>
      </w:r>
    </w:p>
    <w:p>
      <w:pPr>
        <w:pStyle w:val="ListParagraph"/>
        <w:numPr>
          <w:ilvl w:val="0"/>
          <w:numId w:val="2"/>
        </w:numPr>
        <w:spacing w:after="60"/>
      </w:pPr>
      <w:r>
        <w:t xml:space="preserve">El estado se guarda automáticamente; si el navegador se recarga, ofrece restaurar la sesión.</w:t>
      </w:r>
    </w:p>
    <w:p>
      <w:pPr>
        <w:pStyle w:val="ListParagraph"/>
        <w:numPr>
          <w:ilvl w:val="0"/>
          <w:numId w:val="2"/>
        </w:numPr>
        <w:spacing w:after="60"/>
      </w:pPr>
      <w:r>
        <w:t xml:space="preserve">El modo guante amplía controles y texto para uso con guantes de intervención bajo estrés.</w:t>
      </w:r>
    </w:p>
    <w:p>
      <w:pPr>
        <w:pStyle w:val="ListParagraph"/>
        <w:numPr>
          <w:ilvl w:val="0"/>
          <w:numId w:val="2"/>
        </w:numPr>
        <w:spacing w:after="60"/>
      </w:pPr>
      <w:r>
        <w:t xml:space="preserve">La brújula del dispositivo orienta el mapa según hacia dónde apunta el equipo.</w:t>
      </w:r>
    </w:p>
    <w:p>
      <w:r>
        <w:br w:type="page"/>
      </w:r>
    </w:p>
    <w:p>
      <w:pPr>
        <w:pStyle w:val="Heading1"/>
      </w:pPr>
      <w:r>
        <w:t xml:space="preserve">9. Orden inicial GOM e interfaz táctil</w:t>
      </w:r>
    </w:p>
    <w:p>
      <w:pPr>
        <w:pStyle w:val="Heading2"/>
      </w:pPr>
      <w:r>
        <w:t xml:space="preserve">9.1 Pantalla de Orden Inicial (GOM)</w:t>
      </w:r>
    </w:p>
    <w:p>
      <w:pPr>
        <w:spacing w:after="120"/>
      </w:pPr>
      <w:r>
        <w:t xml:space="preserve">Tras el análisis, la Orden Inicial dispone de pantalla propia que trae el dictamen táctico para determinar las acciones. La aplicación compone automáticamente el esqueleto de la orden de mando, listo para dictar o enviar, con la estructura clásica: situación, misión, ejecución (sectorización), seguridad y comunicaciones. Los apartados de situación y seguridad se rellenan solos a partir del análisis (producto, nivel, comportamiento del gas, viento, zonas, EPI recomendado y aviso de rol de viento). El mando solo selecciona la misión y los sectores funcionales mediante botones, añade opcionalmente los recursos, y obtiene una orden completa para copiar, enviar por mensajería o acompañar del enlace COP.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45309" w:sz="1"/>
              <w:left w:val="single" w:color="B45309" w:sz="24"/>
              <w:bottom w:val="single" w:color="B45309" w:sz="1"/>
              <w:right w:val="single" w:color="B45309" w:sz="1"/>
            </w:tcBorders>
            <w:shd w:fill="EAF2F8" w:val="clear"/>
            <w:tcMar>
              <w:top w:type="dxa" w:w="120"/>
              <w:left w:type="dxa" w:w="160"/>
              <w:bottom w:type="dxa" w:w="120"/>
              <w:right w:type="dxa" w:w="160"/>
            </w:tcMar>
          </w:tcPr>
          <w:p>
            <w:pPr>
              <w:spacing w:after="60"/>
            </w:pPr>
            <w:r>
              <w:rPr>
                <w:b/>
                <w:bCs/>
                <w:color w:val="B45309"/>
              </w:rPr>
              <w:t xml:space="preserve">Qué automatiza y qué no</w:t>
            </w:r>
          </w:p>
          <w:p>
            <w:r>
              <w:t xml:space="preserve">La pantalla GOM acelera la composición y el envío de la orden, no la decisión táctica. La elección de misión y sectorización exige el criterio del mando; la herramienta solo estructura y transmite.</w:t>
            </w:r>
          </w:p>
        </w:tc>
      </w:tr>
    </w:tbl>
    <w:p>
      <w:pPr>
        <w:pStyle w:val="Heading2"/>
      </w:pPr>
      <w:r>
        <w:t xml:space="preserve">9.2 Pantallas separadas y semáforo de resultado</w:t>
      </w:r>
    </w:p>
    <w:p>
      <w:pPr>
        <w:spacing w:after="120"/>
      </w:pPr>
      <w:r>
        <w:t xml:space="preserve">La interfaz se organiza en pantallas independientes en lugar de una página con desplazamiento. Tras el análisis aparece un semáforo de resultado (nivel y color) que, al tocarlo, abre la pantalla de Análisis con el dictamen, los accesos rápidos a Zonificación, Orden y Mapa, y la corroboración con el sector solo si se seleccionó. La Zonificación táctica y el Mapa georreferenciado tienen también pantalla propia.</w:t>
      </w:r>
    </w:p>
    <w:p>
      <w:pPr>
        <w:pStyle w:val="Heading2"/>
      </w:pPr>
      <w:r>
        <w:t xml:space="preserve">9.3 Interfaz orientada a uso en campo</w:t>
      </w:r>
    </w:p>
    <w:p>
      <w:pPr>
        <w:pStyle w:val="ListParagraph"/>
        <w:numPr>
          <w:ilvl w:val="0"/>
          <w:numId w:val="2"/>
        </w:numPr>
        <w:spacing w:after="60"/>
      </w:pPr>
      <w:r>
        <w:t xml:space="preserve">Barra de navegación inferior fija (Inicio · Análisis · Zonas · Mapa · Orden) en la zona alcanzable con el pulgar.</w:t>
      </w:r>
    </w:p>
    <w:p>
      <w:pPr>
        <w:pStyle w:val="ListParagraph"/>
        <w:numPr>
          <w:ilvl w:val="0"/>
          <w:numId w:val="2"/>
        </w:numPr>
        <w:spacing w:after="60"/>
      </w:pPr>
      <w:r>
        <w:t xml:space="preserve">Teclado numérico ONU a pantalla completa con teclas grandes para uso con guantes, que confirma la sustancia en tiempo real.</w:t>
      </w:r>
    </w:p>
    <w:p>
      <w:pPr>
        <w:pStyle w:val="ListParagraph"/>
        <w:numPr>
          <w:ilvl w:val="0"/>
          <w:numId w:val="2"/>
        </w:numPr>
        <w:spacing w:after="60"/>
      </w:pPr>
      <w:r>
        <w:t xml:space="preserve">Asistente guiado «Nueva intervención» en seis pasos de un solo foco: sustancia (ONU), configuración de detectores, contenedor/depósito (con filtro de compatibilidad), equipos y lecturas (estimación opcional + lecturas), sector (opcional) y modelo de dispersión. La meteorología se obtiene automáticamente en segundo plano.</w:t>
      </w:r>
    </w:p>
    <w:p>
      <w:pPr>
        <w:pStyle w:val="ListParagraph"/>
        <w:numPr>
          <w:ilvl w:val="0"/>
          <w:numId w:val="2"/>
        </w:numPr>
        <w:spacing w:after="60"/>
      </w:pPr>
      <w:r>
        <w:t xml:space="preserve">Botón Analizar flotante que aparece cuando hay lecturas sin procesar, y reanálisis en un toque para el ciclo de reevaluación (conserva todo y solo pide la nueva concentración).</w:t>
      </w:r>
    </w:p>
    <w:p>
      <w:pPr>
        <w:pStyle w:val="ListParagraph"/>
        <w:numPr>
          <w:ilvl w:val="0"/>
          <w:numId w:val="2"/>
        </w:numPr>
        <w:spacing w:after="60"/>
      </w:pPr>
      <w:r>
        <w:t xml:space="preserve">Modo sol / alto contraste para pantallas bajo luz solar directa.</w:t>
      </w:r>
    </w:p>
    <w:p>
      <w:r>
        <w:br w:type="page"/>
      </w:r>
    </w:p>
    <w:p>
      <w:pPr>
        <w:pStyle w:val="Heading1"/>
      </w:pPr>
      <w:r>
        <w:t xml:space="preserve">10. Niveles de riesgo</w:t>
      </w:r>
    </w:p>
    <w:p>
      <w:pPr>
        <w:spacing w:after="120"/>
      </w:pPr>
      <w:r>
        <w:t xml:space="preserve">El nivel global se asigna por máxima restricción. El disparador depende del tipo de riesgo: umbrales EPA AEGL (en ppm) para los tóxicos, y porcentaje del límite inferior de explosividad (% LEL) para los inflamables medidos por el MPS: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700"/>
        <w:gridCol w:w="3100"/>
        <w:gridCol w:w="1460"/>
      </w:tblGrid>
      <w:tr>
        <w:trPr>
          <w:tblHeader/>
        </w:trPr>
        <w:tc>
          <w:tcPr>
            <w:tcW w:type="dxa" w:w="11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Nivel</w:t>
            </w:r>
          </w:p>
        </w:tc>
        <w:tc>
          <w:tcPr>
            <w:tcW w:type="dxa" w:w="27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Disparador tóxico</w:t>
            </w:r>
          </w:p>
        </w:tc>
        <w:tc>
          <w:tcPr>
            <w:tcW w:type="dxa" w:w="31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Disparador inflamable (MPS)</w:t>
            </w:r>
          </w:p>
        </w:tc>
        <w:tc>
          <w:tcPr>
            <w:tcW w:type="dxa" w:w="146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Color</w:t>
            </w:r>
          </w:p>
        </w:tc>
      </w:tr>
      <w:tr>
        <w:tc>
          <w:tcPr>
            <w:tcW w:type="dxa" w:w="11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NI</w:t>
            </w:r>
          </w:p>
        </w:tc>
        <w:tc>
          <w:tcPr>
            <w:tcW w:type="dxa" w:w="27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&lt; AEGL-1</w:t>
            </w:r>
          </w:p>
        </w:tc>
        <w:tc>
          <w:tcPr>
            <w:tcW w:type="dxa" w:w="31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&lt; 20 % LEL</w:t>
            </w:r>
          </w:p>
        </w:tc>
        <w:tc>
          <w:tcPr>
            <w:tcW w:type="dxa" w:w="14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Verde</w:t>
            </w:r>
          </w:p>
        </w:tc>
      </w:tr>
      <w:tr>
        <w:tc>
          <w:tcPr>
            <w:tcW w:type="dxa" w:w="11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NII</w:t>
            </w:r>
          </w:p>
        </w:tc>
        <w:tc>
          <w:tcPr>
            <w:tcW w:type="dxa" w:w="27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 AEGL-1</w:t>
            </w:r>
          </w:p>
        </w:tc>
        <w:tc>
          <w:tcPr>
            <w:tcW w:type="dxa" w:w="31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 20 % LEL (A1)</w:t>
            </w:r>
          </w:p>
        </w:tc>
        <w:tc>
          <w:tcPr>
            <w:tcW w:type="dxa" w:w="14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Ámbar</w:t>
            </w:r>
          </w:p>
        </w:tc>
      </w:tr>
      <w:tr>
        <w:tc>
          <w:tcPr>
            <w:tcW w:type="dxa" w:w="11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NIII</w:t>
            </w:r>
          </w:p>
        </w:tc>
        <w:tc>
          <w:tcPr>
            <w:tcW w:type="dxa" w:w="27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 AEGL-2</w:t>
            </w:r>
          </w:p>
        </w:tc>
        <w:tc>
          <w:tcPr>
            <w:tcW w:type="dxa" w:w="31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 40 % LEL (A2)</w:t>
            </w:r>
          </w:p>
        </w:tc>
        <w:tc>
          <w:tcPr>
            <w:tcW w:type="dxa" w:w="14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Rojo</w:t>
            </w:r>
          </w:p>
        </w:tc>
      </w:tr>
      <w:tr>
        <w:tc>
          <w:tcPr>
            <w:tcW w:type="dxa" w:w="11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NIII+</w:t>
            </w:r>
          </w:p>
        </w:tc>
        <w:tc>
          <w:tcPr>
            <w:tcW w:type="dxa" w:w="27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 AEGL-3 (o sin confirmar)</w:t>
            </w:r>
          </w:p>
        </w:tc>
        <w:tc>
          <w:tcPr>
            <w:tcW w:type="dxa" w:w="31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 50 % LEL (deflagración)</w:t>
            </w:r>
          </w:p>
        </w:tc>
        <w:tc>
          <w:tcPr>
            <w:tcW w:type="dxa" w:w="14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Rojo</w:t>
            </w:r>
          </w:p>
        </w:tc>
      </w:tr>
    </w:tbl>
    <w:p>
      <w:pPr>
        <w:spacing w:after="120"/>
      </w:pPr>
      <w:r>
        <w:t xml:space="preserve"/>
      </w:r>
    </w:p>
    <w:p>
      <w:pPr>
        <w:spacing w:after="120"/>
      </w:pPr>
      <w:r>
        <w:t xml:space="preserve">La lectura táctica por nivel: NI vigilancia; NII protección y zonificación; NIII exclusión y EPI máximo; NIII+ máxima restricción. El valor que dispara el nivel se muestra siempre con su unidad correcta (ppm para tóxicos, % LEL para inflamables).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6BA8" w:sz="1"/>
              <w:left w:val="single" w:color="0E6BA8" w:sz="24"/>
              <w:bottom w:val="single" w:color="0E6BA8" w:sz="1"/>
              <w:right w:val="single" w:color="0E6BA8" w:sz="1"/>
            </w:tcBorders>
            <w:shd w:fill="EAF2F8" w:val="clear"/>
            <w:tcMar>
              <w:top w:type="dxa" w:w="120"/>
              <w:left w:type="dxa" w:w="160"/>
              <w:bottom w:type="dxa" w:w="120"/>
              <w:right w:type="dxa" w:w="160"/>
            </w:tcMar>
          </w:tcPr>
          <w:p>
            <w:pPr>
              <w:spacing w:after="60"/>
            </w:pPr>
            <w:r>
              <w:rPr>
                <w:b/>
                <w:bCs/>
                <w:color w:val="0E6BA8"/>
              </w:rPr>
              <w:t xml:space="preserve">Coherencia con el sector</w:t>
            </w:r>
          </w:p>
          <w:p>
            <w:r>
              <w:t xml:space="preserve">🟢 Coherente: gas esperable.  🟡 Parcial: encaje ocasional.  🔴 Incoherencia: gas atípico para el sector — reconsiderar el escenario.</w:t>
            </w:r>
          </w:p>
        </w:tc>
      </w:tr>
    </w:tbl>
    <w:p>
      <w:r>
        <w:br w:type="page"/>
      </w:r>
    </w:p>
    <w:p>
      <w:pPr>
        <w:pStyle w:val="Heading1"/>
      </w:pPr>
      <w:r>
        <w:t xml:space="preserve">11. Base de datos de sustancias</w:t>
      </w:r>
    </w:p>
    <w:p>
      <w:pPr>
        <w:spacing w:after="120"/>
      </w:pPr>
      <w:r>
        <w:t xml:space="preserve">La aplicación incluye ochenta y cinco sustancias, organizadas por familias. A los grupos básicos se suman las ampliaciones de las Fases 1 y 2 descritas en el capítulo 12.</w:t>
      </w:r>
    </w:p>
    <w:p>
      <w:pPr>
        <w:pStyle w:val="Heading2"/>
      </w:pPr>
      <w:r>
        <w:t xml:space="preserve">11.1 Tóxicos industriales (TIH)</w:t>
      </w:r>
    </w:p>
    <w:p>
      <w:pPr>
        <w:spacing w:after="120"/>
      </w:pPr>
      <w:r>
        <w:t xml:space="preserve">Gases con umbrales AEGL de la EPA: cloro, amoníaco, sulfuro de hidrógeno, cianuro de hidrógeno, dióxido de azufre, fluoruro de hidrógeno, monóxido de carbono, cloruro de hidrógeno, dióxido de nitrógeno, ozono, formaldehído, fosgeno, peróxido de hidrógeno y mercaptanos. Para cada uno, las distancias de las zonas se anclan en la Tabla 1 del ERG 2024.</w:t>
      </w:r>
    </w:p>
    <w:p>
      <w:pPr>
        <w:pStyle w:val="Heading2"/>
      </w:pPr>
      <w:r>
        <w:t xml:space="preserve">11.2 Inflamables detectados por el sensor MPS</w:t>
      </w:r>
    </w:p>
    <w:p>
      <w:pPr>
        <w:spacing w:after="120"/>
      </w:pPr>
      <w:r>
        <w:t xml:space="preserve">Veintidós gases y vapores inflamables medidos por el sensor MPS de NevadaNano, expresados en porcentaje del límite inferior de explosividad (% LEL). El sensor mide explosividad, no toxicidad. Se distingue entre los que tienen precisión TrueLEL garantizada (metano, etano, propileno, isobutano, isobutileno, pentano, heptano, octano, tolueno, xileno, estireno, etileno, acetona, isopropanol, MEK) y los que detecta sin esa precisión y por tanto son orientativos (gasolina, gasóleo, etanol, metanol, hexano, ciclohexano, acetileno). En cada ficha se indica el sesgo conocido del sensor: por ejemplo, subestima el etileno y el estireno, y sobreestima la acetona y el isopropanol.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45309" w:sz="1"/>
              <w:left w:val="single" w:color="B45309" w:sz="24"/>
              <w:bottom w:val="single" w:color="B45309" w:sz="1"/>
              <w:right w:val="single" w:color="B45309" w:sz="1"/>
            </w:tcBorders>
            <w:shd w:fill="EAF2F8" w:val="clear"/>
            <w:tcMar>
              <w:top w:type="dxa" w:w="120"/>
              <w:left w:type="dxa" w:w="160"/>
              <w:bottom w:type="dxa" w:w="120"/>
              <w:right w:type="dxa" w:w="160"/>
            </w:tcMar>
          </w:tcPr>
          <w:p>
            <w:pPr>
              <w:spacing w:after="60"/>
            </w:pPr>
            <w:r>
              <w:rPr>
                <w:b/>
                <w:bCs/>
                <w:color w:val="B45309"/>
              </w:rPr>
              <w:t xml:space="preserve">Vapores de gasolina y el MPS</w:t>
            </w:r>
          </w:p>
          <w:p>
            <w:r>
              <w:t xml:space="preserve">La gasolina es una mezcla compleja (C4–C12), por lo que el MPS la detecta sin precisión TrueLEL: la lectura de % LEL es orientativa y puede sobre o subestimar. Mide riesgo de explosión, no toxicidad. Aplique siempre margen de seguridad y confirme.</w:t>
            </w:r>
          </w:p>
        </w:tc>
      </w:tr>
    </w:tbl>
    <w:p>
      <w:pPr>
        <w:pStyle w:val="Heading2"/>
      </w:pPr>
      <w:r>
        <w:t xml:space="preserve">11.3 Quince mercancías peligrosas más frecuentes por carretera</w:t>
      </w:r>
    </w:p>
    <w:p>
      <w:pPr>
        <w:spacing w:after="120"/>
      </w:pPr>
      <w:r>
        <w:t xml:space="preserve">Con número ONU verificado (ADR / Libro Naranja), propiedades fisicoquímicas y condiciones de transporte (presión), dato clave para anticipar el comportamiento del derrame: un gas licuado a presión produce una liberación súbita con gran expansión, mientras que un líquido a presión atmosférica forma un charco con evaporación progresiva.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400"/>
        <w:gridCol w:w="4560"/>
      </w:tblGrid>
      <w:tr>
        <w:trPr>
          <w:tblHeader/>
        </w:trPr>
        <w:tc>
          <w:tcPr>
            <w:tcW w:type="dxa" w:w="34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Mercancía</w:t>
            </w:r>
          </w:p>
        </w:tc>
        <w:tc>
          <w:tcPr>
            <w:tcW w:type="dxa" w:w="14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ONU</w:t>
            </w:r>
          </w:p>
        </w:tc>
        <w:tc>
          <w:tcPr>
            <w:tcW w:type="dxa" w:w="456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Transporte</w:t>
            </w:r>
          </w:p>
        </w:tc>
      </w:tr>
      <w:tr>
        <w:tc>
          <w:tcPr>
            <w:tcW w:type="dxa" w:w="3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GLP (propano/butano)</w:t>
            </w:r>
          </w:p>
        </w:tc>
        <w:tc>
          <w:tcPr>
            <w:tcW w:type="dxa" w:w="1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1965</w:t>
            </w:r>
          </w:p>
        </w:tc>
        <w:tc>
          <w:tcPr>
            <w:tcW w:type="dxa" w:w="45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Cisterna a presión ~7–8 bar</w:t>
            </w:r>
          </w:p>
        </w:tc>
      </w:tr>
      <w:tr>
        <w:tc>
          <w:tcPr>
            <w:tcW w:type="dxa" w:w="3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Gasolina</w:t>
            </w:r>
          </w:p>
        </w:tc>
        <w:tc>
          <w:tcPr>
            <w:tcW w:type="dxa" w:w="1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1203</w:t>
            </w:r>
          </w:p>
        </w:tc>
        <w:tc>
          <w:tcPr>
            <w:tcW w:type="dxa" w:w="45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Atmosférica (muy volátil)</w:t>
            </w:r>
          </w:p>
        </w:tc>
      </w:tr>
      <w:tr>
        <w:tc>
          <w:tcPr>
            <w:tcW w:type="dxa" w:w="3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Gasóleo / diésel</w:t>
            </w:r>
          </w:p>
        </w:tc>
        <w:tc>
          <w:tcPr>
            <w:tcW w:type="dxa" w:w="1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1202</w:t>
            </w:r>
          </w:p>
        </w:tc>
        <w:tc>
          <w:tcPr>
            <w:tcW w:type="dxa" w:w="45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Atmosférica (poco volátil)</w:t>
            </w:r>
          </w:p>
        </w:tc>
      </w:tr>
      <w:tr>
        <w:tc>
          <w:tcPr>
            <w:tcW w:type="dxa" w:w="3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Queroseno / Jet A-1</w:t>
            </w:r>
          </w:p>
        </w:tc>
        <w:tc>
          <w:tcPr>
            <w:tcW w:type="dxa" w:w="1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1223</w:t>
            </w:r>
          </w:p>
        </w:tc>
        <w:tc>
          <w:tcPr>
            <w:tcW w:type="dxa" w:w="45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Atmosférica</w:t>
            </w:r>
          </w:p>
        </w:tc>
      </w:tr>
      <w:tr>
        <w:tc>
          <w:tcPr>
            <w:tcW w:type="dxa" w:w="3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Fuelóleo pesado</w:t>
            </w:r>
          </w:p>
        </w:tc>
        <w:tc>
          <w:tcPr>
            <w:tcW w:type="dxa" w:w="1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3082</w:t>
            </w:r>
          </w:p>
        </w:tc>
        <w:tc>
          <w:tcPr>
            <w:tcW w:type="dxa" w:w="45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Atmosférica, caliente</w:t>
            </w:r>
          </w:p>
        </w:tc>
      </w:tr>
      <w:tr>
        <w:tc>
          <w:tcPr>
            <w:tcW w:type="dxa" w:w="3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Ácido sulfúrico</w:t>
            </w:r>
          </w:p>
        </w:tc>
        <w:tc>
          <w:tcPr>
            <w:tcW w:type="dxa" w:w="1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1830</w:t>
            </w:r>
          </w:p>
        </w:tc>
        <w:tc>
          <w:tcPr>
            <w:tcW w:type="dxa" w:w="45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Atmosférica (líquido denso)</w:t>
            </w:r>
          </w:p>
        </w:tc>
      </w:tr>
      <w:tr>
        <w:tc>
          <w:tcPr>
            <w:tcW w:type="dxa" w:w="3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Óleum / ác. sulfúrico fumante</w:t>
            </w:r>
          </w:p>
        </w:tc>
        <w:tc>
          <w:tcPr>
            <w:tcW w:type="dxa" w:w="1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1831</w:t>
            </w:r>
          </w:p>
        </w:tc>
        <w:tc>
          <w:tcPr>
            <w:tcW w:type="dxa" w:w="45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Atmosférica (humea SO₃, tóxico inhalación)</w:t>
            </w:r>
          </w:p>
        </w:tc>
      </w:tr>
      <w:tr>
        <w:tc>
          <w:tcPr>
            <w:tcW w:type="dxa" w:w="3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Hidróxido de sodio (sosa)</w:t>
            </w:r>
          </w:p>
        </w:tc>
        <w:tc>
          <w:tcPr>
            <w:tcW w:type="dxa" w:w="1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1824</w:t>
            </w:r>
          </w:p>
        </w:tc>
        <w:tc>
          <w:tcPr>
            <w:tcW w:type="dxa" w:w="45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Atmosférica (disolución)</w:t>
            </w:r>
          </w:p>
        </w:tc>
      </w:tr>
      <w:tr>
        <w:tc>
          <w:tcPr>
            <w:tcW w:type="dxa" w:w="3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Ácido nítrico</w:t>
            </w:r>
          </w:p>
        </w:tc>
        <w:tc>
          <w:tcPr>
            <w:tcW w:type="dxa" w:w="1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2031</w:t>
            </w:r>
          </w:p>
        </w:tc>
        <w:tc>
          <w:tcPr>
            <w:tcW w:type="dxa" w:w="45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Atmosférica (genera NOx)</w:t>
            </w:r>
          </w:p>
        </w:tc>
      </w:tr>
      <w:tr>
        <w:tc>
          <w:tcPr>
            <w:tcW w:type="dxa" w:w="3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Ácido clorhídrico</w:t>
            </w:r>
          </w:p>
        </w:tc>
        <w:tc>
          <w:tcPr>
            <w:tcW w:type="dxa" w:w="1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1789</w:t>
            </w:r>
          </w:p>
        </w:tc>
        <w:tc>
          <w:tcPr>
            <w:tcW w:type="dxa" w:w="45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Atmosférica (desprende HCl)</w:t>
            </w:r>
          </w:p>
        </w:tc>
      </w:tr>
      <w:tr>
        <w:tc>
          <w:tcPr>
            <w:tcW w:type="dxa" w:w="3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Acetato de etilo</w:t>
            </w:r>
          </w:p>
        </w:tc>
        <w:tc>
          <w:tcPr>
            <w:tcW w:type="dxa" w:w="1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1173</w:t>
            </w:r>
          </w:p>
        </w:tc>
        <w:tc>
          <w:tcPr>
            <w:tcW w:type="dxa" w:w="45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Atmosférica (volátil)</w:t>
            </w:r>
          </w:p>
        </w:tc>
      </w:tr>
      <w:tr>
        <w:tc>
          <w:tcPr>
            <w:tcW w:type="dxa" w:w="3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Metacrilato de metilo</w:t>
            </w:r>
          </w:p>
        </w:tc>
        <w:tc>
          <w:tcPr>
            <w:tcW w:type="dxa" w:w="1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1247</w:t>
            </w:r>
          </w:p>
        </w:tc>
        <w:tc>
          <w:tcPr>
            <w:tcW w:type="dxa" w:w="45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Atmosférica (polimerizable)</w:t>
            </w:r>
          </w:p>
        </w:tc>
      </w:tr>
      <w:tr>
        <w:tc>
          <w:tcPr>
            <w:tcW w:type="dxa" w:w="3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Nitrógeno líquido</w:t>
            </w:r>
          </w:p>
        </w:tc>
        <w:tc>
          <w:tcPr>
            <w:tcW w:type="dxa" w:w="1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1977</w:t>
            </w:r>
          </w:p>
        </w:tc>
        <w:tc>
          <w:tcPr>
            <w:tcW w:type="dxa" w:w="45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Criogénica ≤10 bar</w:t>
            </w:r>
          </w:p>
        </w:tc>
      </w:tr>
      <w:tr>
        <w:tc>
          <w:tcPr>
            <w:tcW w:type="dxa" w:w="3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Oxígeno líquido</w:t>
            </w:r>
          </w:p>
        </w:tc>
        <w:tc>
          <w:tcPr>
            <w:tcW w:type="dxa" w:w="1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1073</w:t>
            </w:r>
          </w:p>
        </w:tc>
        <w:tc>
          <w:tcPr>
            <w:tcW w:type="dxa" w:w="45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Criogénica (comburente)</w:t>
            </w:r>
          </w:p>
        </w:tc>
      </w:tr>
      <w:tr>
        <w:tc>
          <w:tcPr>
            <w:tcW w:type="dxa" w:w="3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CO₂ licuado</w:t>
            </w:r>
          </w:p>
        </w:tc>
        <w:tc>
          <w:tcPr>
            <w:tcW w:type="dxa" w:w="1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2187</w:t>
            </w:r>
          </w:p>
        </w:tc>
        <w:tc>
          <w:tcPr>
            <w:tcW w:type="dxa" w:w="45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Refrigerada ~20 bar</w:t>
            </w:r>
          </w:p>
        </w:tc>
      </w:tr>
      <w:tr>
        <w:tc>
          <w:tcPr>
            <w:tcW w:type="dxa" w:w="3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Benceno</w:t>
            </w:r>
          </w:p>
        </w:tc>
        <w:tc>
          <w:tcPr>
            <w:tcW w:type="dxa" w:w="1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1114</w:t>
            </w:r>
          </w:p>
        </w:tc>
        <w:tc>
          <w:tcPr>
            <w:tcW w:type="dxa" w:w="45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Atmosférica (cancerígeno)</w:t>
            </w:r>
          </w:p>
        </w:tc>
      </w:tr>
    </w:tbl>
    <w:p>
      <w:pPr>
        <w:spacing w:after="80"/>
      </w:pPr>
      <w:r>
        <w:t xml:space="preserve"/>
      </w:r>
    </w:p>
    <w:p>
      <w:pPr>
        <w:spacing w:after="120"/>
      </w:pPr>
      <w:r>
        <w:t xml:space="preserve">Otras incorporadas: anilina (ONU 1547) y etilenglicol. Al introducir el número ONU, la app carga las propiedades, activa el sensor adecuado y muestra las condiciones de transporte.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6BA8" w:sz="1"/>
              <w:left w:val="single" w:color="0E6BA8" w:sz="24"/>
              <w:bottom w:val="single" w:color="0E6BA8" w:sz="1"/>
              <w:right w:val="single" w:color="0E6BA8" w:sz="1"/>
            </w:tcBorders>
            <w:shd w:fill="EAF2F8" w:val="clear"/>
            <w:tcMar>
              <w:top w:type="dxa" w:w="120"/>
              <w:left w:type="dxa" w:w="160"/>
              <w:bottom w:type="dxa" w:w="120"/>
              <w:right w:type="dxa" w:w="160"/>
            </w:tcMar>
          </w:tcPr>
          <w:p>
            <w:pPr>
              <w:spacing w:after="60"/>
            </w:pPr>
            <w:r>
              <w:rPr>
                <w:b/>
                <w:bCs/>
                <w:color w:val="0E6BA8"/>
              </w:rPr>
              <w:t xml:space="preserve">Ácido sulfúrico frente a óleum</w:t>
            </w:r>
          </w:p>
          <w:p>
            <w:r>
              <w:t xml:space="preserve">El ONU 1830 (ácido sulfúrico) y el 1831 (óleum o ácido sulfúrico fumante) no son lo mismo. El primero es un líquido corrosivo que apenas genera vapor: el peligro es el contacto. El óleum, en cambio, desprende humos blancos de trióxido de azufre tóxicos por inhalación, que forman niebla ácida; además del corrosivo líquido, hay que considerar la nube. La aplicación los trata como sustancias distintas con esa diferencia de volatilidad.</w:t>
            </w:r>
          </w:p>
        </w:tc>
      </w:tr>
    </w:tbl>
    <w:p>
      <w:pPr>
        <w:pStyle w:val="Heading2"/>
      </w:pPr>
      <w:r>
        <w:t xml:space="preserve">11.4 Sector de transporte por carretera y ferrocarril</w:t>
      </w:r>
    </w:p>
    <w:p>
      <w:pPr>
        <w:spacing w:after="120"/>
      </w:pPr>
      <w:r>
        <w:t xml:space="preserve">Entre los sectores de actividad se incluye el transporte de mercancías peligrosas por carretera (ADR) y ferrocarril (RID). A diferencia de un sector de proceso, donde la firma de gases esperable es nítida, en un accidente de transporte el producto lo determina la carta de porte y el panel naranja, y puede ser cualquiera de las mercancías ADR habituales. Por ello su firma química es deliberadamente difusa, igual que la de un puerto: gana como hipótesis cuando el patrón de gases es mixto o atípico, y cede ante un sector de proceso cuando la firma es clara.</w:t>
      </w:r>
    </w:p>
    <w:p>
      <w:r>
        <w:br w:type="page"/>
      </w:r>
    </w:p>
    <w:p>
      <w:pPr>
        <w:pStyle w:val="Heading1"/>
      </w:pPr>
      <w:r>
        <w:t xml:space="preserve">12. Ampliación de la base de datos y evaluación avanzada</w:t>
      </w:r>
    </w:p>
    <w:p>
      <w:pPr>
        <w:spacing w:after="120"/>
      </w:pPr>
      <w:r>
        <w:t xml:space="preserve">La base de datos se ha ampliado a ochenta y cinco sustancias mediante dos fases enfocadas en el tejido industrial español (petroquímica y química básica de Tarragona, Huelva y Cartagena; tratamiento de aguas). Esta ampliación introdujo además lógica nueva de dictamen que se describe a continuación.</w:t>
      </w:r>
    </w:p>
    <w:p>
      <w:pPr>
        <w:pStyle w:val="Heading2"/>
      </w:pPr>
      <w:r>
        <w:t xml:space="preserve">12.1 Fase 1 — Petroquímica y química básica (sustancias que forman nube)</w:t>
      </w:r>
    </w:p>
    <w:p>
      <w:pPr>
        <w:spacing w:after="120"/>
      </w:pPr>
      <w:r>
        <w:t xml:space="preserve">La base reúne 76 sustancias frecuentes en intervención real que pueden generar nube peligrosa (gases y vapores de la petroquímica y la química básica, agentes industriales tóxicos, el ácido fluorhídrico en disolución y el difluoruro de oxígeno, entre otras), cada una con el juego completo de datos: peso molecular, densidad de vapor, densidad líquida, presión de vapor, límite de explosividad, umbrales AEGL contrastados con la EPA, sensor principal y, en los gases licuados, datos de flash adiabático.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1300"/>
        <w:gridCol w:w="4360"/>
      </w:tblGrid>
      <w:tr>
        <w:trPr>
          <w:tblHeader/>
        </w:trPr>
        <w:tc>
          <w:tcPr>
            <w:tcW w:type="dxa" w:w="37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Sustancia</w:t>
            </w:r>
          </w:p>
        </w:tc>
        <w:tc>
          <w:tcPr>
            <w:tcW w:type="dxa" w:w="13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ONU</w:t>
            </w:r>
          </w:p>
        </w:tc>
        <w:tc>
          <w:tcPr>
            <w:tcW w:type="dxa" w:w="436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Riesgo principal</w:t>
            </w:r>
          </w:p>
        </w:tc>
      </w:tr>
      <w:tr>
        <w:tc>
          <w:tcPr>
            <w:tcW w:type="dxa" w:w="37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Óxido de etileno</w:t>
            </w:r>
          </w:p>
        </w:tc>
        <w:tc>
          <w:tcPr>
            <w:tcW w:type="dxa" w:w="13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1040</w:t>
            </w:r>
          </w:p>
        </w:tc>
        <w:tc>
          <w:tcPr>
            <w:tcW w:type="dxa" w:w="43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Inflamable + tóxico + cancerígeno (gas licuado)</w:t>
            </w:r>
          </w:p>
        </w:tc>
      </w:tr>
      <w:tr>
        <w:tc>
          <w:tcPr>
            <w:tcW w:type="dxa" w:w="37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Óxido de propileno</w:t>
            </w:r>
          </w:p>
        </w:tc>
        <w:tc>
          <w:tcPr>
            <w:tcW w:type="dxa" w:w="13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1280</w:t>
            </w:r>
          </w:p>
        </w:tc>
        <w:tc>
          <w:tcPr>
            <w:tcW w:type="dxa" w:w="43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Inflamable + cancerígeno</w:t>
            </w:r>
          </w:p>
        </w:tc>
      </w:tr>
      <w:tr>
        <w:tc>
          <w:tcPr>
            <w:tcW w:type="dxa" w:w="37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1,3-Butadieno</w:t>
            </w:r>
          </w:p>
        </w:tc>
        <w:tc>
          <w:tcPr>
            <w:tcW w:type="dxa" w:w="13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1010</w:t>
            </w:r>
          </w:p>
        </w:tc>
        <w:tc>
          <w:tcPr>
            <w:tcW w:type="dxa" w:w="43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Inflamable + cancerígeno (gas licuado)</w:t>
            </w:r>
          </w:p>
        </w:tc>
      </w:tr>
      <w:tr>
        <w:tc>
          <w:tcPr>
            <w:tcW w:type="dxa" w:w="37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Cloruro de vinilo (VCM)</w:t>
            </w:r>
          </w:p>
        </w:tc>
        <w:tc>
          <w:tcPr>
            <w:tcW w:type="dxa" w:w="13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1086</w:t>
            </w:r>
          </w:p>
        </w:tc>
        <w:tc>
          <w:tcPr>
            <w:tcW w:type="dxa" w:w="43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Inflamable + cancerígeno (gas licuado, PVC)</w:t>
            </w:r>
          </w:p>
        </w:tc>
      </w:tr>
      <w:tr>
        <w:tc>
          <w:tcPr>
            <w:tcW w:type="dxa" w:w="37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Acrilonitrilo</w:t>
            </w:r>
          </w:p>
        </w:tc>
        <w:tc>
          <w:tcPr>
            <w:tcW w:type="dxa" w:w="13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1093</w:t>
            </w:r>
          </w:p>
        </w:tc>
        <w:tc>
          <w:tcPr>
            <w:tcW w:type="dxa" w:w="43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Tóxico + inflamable + cancerígeno</w:t>
            </w:r>
          </w:p>
        </w:tc>
      </w:tr>
      <w:tr>
        <w:tc>
          <w:tcPr>
            <w:tcW w:type="dxa" w:w="37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Etilbenceno</w:t>
            </w:r>
          </w:p>
        </w:tc>
        <w:tc>
          <w:tcPr>
            <w:tcW w:type="dxa" w:w="13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1175</w:t>
            </w:r>
          </w:p>
        </w:tc>
        <w:tc>
          <w:tcPr>
            <w:tcW w:type="dxa" w:w="43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Inflamable</w:t>
            </w:r>
          </w:p>
        </w:tc>
      </w:tr>
      <w:tr>
        <w:tc>
          <w:tcPr>
            <w:tcW w:type="dxa" w:w="37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Metilamina</w:t>
            </w:r>
          </w:p>
        </w:tc>
        <w:tc>
          <w:tcPr>
            <w:tcW w:type="dxa" w:w="13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1061</w:t>
            </w:r>
          </w:p>
        </w:tc>
        <w:tc>
          <w:tcPr>
            <w:tcW w:type="dxa" w:w="43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Gas tóxico inflamable (licuado)</w:t>
            </w:r>
          </w:p>
        </w:tc>
      </w:tr>
      <w:tr>
        <w:tc>
          <w:tcPr>
            <w:tcW w:type="dxa" w:w="37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Acroleína</w:t>
            </w:r>
          </w:p>
        </w:tc>
        <w:tc>
          <w:tcPr>
            <w:tcW w:type="dxa" w:w="13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1092</w:t>
            </w:r>
          </w:p>
        </w:tc>
        <w:tc>
          <w:tcPr>
            <w:tcW w:type="dxa" w:w="43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Muy tóxico + inflamable</w:t>
            </w:r>
          </w:p>
        </w:tc>
      </w:tr>
      <w:tr>
        <w:tc>
          <w:tcPr>
            <w:tcW w:type="dxa" w:w="37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Disulfuro de carbono</w:t>
            </w:r>
          </w:p>
        </w:tc>
        <w:tc>
          <w:tcPr>
            <w:tcW w:type="dxa" w:w="13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1131</w:t>
            </w:r>
          </w:p>
        </w:tc>
        <w:tc>
          <w:tcPr>
            <w:tcW w:type="dxa" w:w="43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Muy inflamable (autoignición 90 °C) + tóxico</w:t>
            </w:r>
          </w:p>
        </w:tc>
      </w:tr>
      <w:tr>
        <w:tc>
          <w:tcPr>
            <w:tcW w:type="dxa" w:w="37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Tetrahidrofurano</w:t>
            </w:r>
          </w:p>
        </w:tc>
        <w:tc>
          <w:tcPr>
            <w:tcW w:type="dxa" w:w="13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2056</w:t>
            </w:r>
          </w:p>
        </w:tc>
        <w:tc>
          <w:tcPr>
            <w:tcW w:type="dxa" w:w="43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Inflamable (forma peróxidos)</w:t>
            </w:r>
          </w:p>
        </w:tc>
      </w:tr>
      <w:tr>
        <w:tc>
          <w:tcPr>
            <w:tcW w:type="dxa" w:w="37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Epiclorhidrina</w:t>
            </w:r>
          </w:p>
        </w:tc>
        <w:tc>
          <w:tcPr>
            <w:tcW w:type="dxa" w:w="13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2023</w:t>
            </w:r>
          </w:p>
        </w:tc>
        <w:tc>
          <w:tcPr>
            <w:tcW w:type="dxa" w:w="43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Tóxico + inflamable + cancerígeno</w:t>
            </w:r>
          </w:p>
        </w:tc>
      </w:tr>
      <w:tr>
        <w:tc>
          <w:tcPr>
            <w:tcW w:type="dxa" w:w="37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Ácido fluorhídrico en disolución</w:t>
            </w:r>
          </w:p>
        </w:tc>
        <w:tc>
          <w:tcPr>
            <w:tcW w:type="dxa" w:w="13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1790</w:t>
            </w:r>
          </w:p>
        </w:tc>
        <w:tc>
          <w:tcPr>
            <w:tcW w:type="dxa" w:w="43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Corrosivo grave + vapores tóxicos de HF</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45309" w:sz="1"/>
              <w:left w:val="single" w:color="B45309" w:sz="24"/>
              <w:bottom w:val="single" w:color="B45309" w:sz="1"/>
              <w:right w:val="single" w:color="B45309" w:sz="1"/>
            </w:tcBorders>
            <w:shd w:fill="EAF2F8" w:val="clear"/>
            <w:tcMar>
              <w:top w:type="dxa" w:w="120"/>
              <w:left w:type="dxa" w:w="160"/>
              <w:bottom w:type="dxa" w:w="120"/>
              <w:right w:type="dxa" w:w="160"/>
            </w:tcMar>
          </w:tcPr>
          <w:p>
            <w:pPr>
              <w:spacing w:after="60"/>
            </w:pPr>
            <w:r>
              <w:rPr>
                <w:b/>
                <w:bCs/>
                <w:color w:val="B45309"/>
              </w:rPr>
              <w:t xml:space="preserve">Valores AEGL no oficiales</w:t>
            </w:r>
          </w:p>
          <w:p>
            <w:r>
              <w:t xml:space="preserve">Cuando una sustancia carece de AEGL oficial de la EPA (metilamina, tetrahidrofurano), se emplean valores TEEL de referencia, claramente etiquetados como no oficiales en la ficha. El mando debe tratarlos como orientativos.</w:t>
            </w:r>
          </w:p>
        </w:tc>
      </w:tr>
    </w:tbl>
    <w:p>
      <w:pPr>
        <w:pStyle w:val="Heading2"/>
      </w:pPr>
      <w:r>
        <w:t xml:space="preserve">12.2 Evaluación dual de sustancias tóxico-inflamables</w:t>
      </w:r>
    </w:p>
    <w:p>
      <w:pPr>
        <w:spacing w:after="120"/>
      </w:pPr>
      <w:r>
        <w:t xml:space="preserve">Una sustancia tóxico-inflamable (óxido de etileno, cloruro de vinilo, acrilonitrilo, acroleína, disulfuro de carbono, metilamina, epiclorhidrina) presenta dos riesgos simultáneos: explosividad (% LEL) y toxicidad (ppm). En muchas de ellas el riesgo tóxico domina mucho antes que el de explosión. Por ello la aplicación genera dos candidatos —uno por explosividad y otro por toxicidad— y el dictamen adopta el peor de los 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1C1C" w:sz="1"/>
              <w:left w:val="single" w:color="B91C1C" w:sz="24"/>
              <w:bottom w:val="single" w:color="B91C1C" w:sz="1"/>
              <w:right w:val="single" w:color="B91C1C" w:sz="1"/>
            </w:tcBorders>
            <w:shd w:fill="EAF2F8" w:val="clear"/>
            <w:tcMar>
              <w:top w:type="dxa" w:w="120"/>
              <w:left w:type="dxa" w:w="160"/>
              <w:bottom w:type="dxa" w:w="120"/>
              <w:right w:type="dxa" w:w="160"/>
            </w:tcMar>
          </w:tcPr>
          <w:p>
            <w:pPr>
              <w:spacing w:after="60"/>
            </w:pPr>
            <w:r>
              <w:rPr>
                <w:b/>
                <w:bCs/>
                <w:color w:val="B91C1C"/>
              </w:rPr>
              <w:t xml:space="preserve">Por qué importa</w:t>
            </w:r>
          </w:p>
          <w:p>
            <w:r>
              <w:t xml:space="preserve">El óxido de etileno a una concentración dada puede dar solo un 15 % LEL (nivel bajo por explosividad) pero superar a la vez el umbral AEGL-3 de toxicidad (amenaza vital). Evaluar solo la explosividad infravaloraría gravemente el riesgo. La evaluación dual evita ese punto ciego.</w:t>
            </w:r>
          </w:p>
        </w:tc>
      </w:tr>
    </w:tbl>
    <w:p>
      <w:pPr>
        <w:pStyle w:val="Heading2"/>
      </w:pPr>
      <w:r>
        <w:t xml:space="preserve">12.3 Equipo de protección según el riesgo dominante</w:t>
      </w:r>
    </w:p>
    <w:p>
      <w:pPr>
        <w:spacing w:after="120"/>
      </w:pPr>
      <w:r>
        <w:t xml:space="preserve">El EPI recomendado depende de qué riesgo dispara el nivel. Para una sustancia tóxico-inflamable cuyo nivel lo impone la toxicidad, prevalece el traje estanco a gases (Tipo 1, EN 943-1) más equipo autónomo, añadiendo el control de focos de ignición y la puesta a tierra porque también arde; si se declara fuego, la protección térmica estructural prevalece. Para un inflamable puro se usa equipo estructural. Para un gas tóxico (cloro, amoníaco) el equipo es estanco, no antisalpicaduras, incluso en nivel II.</w:t>
      </w:r>
    </w:p>
    <w:p>
      <w:pPr>
        <w:pStyle w:val="Heading2"/>
      </w:pPr>
      <w:r>
        <w:t xml:space="preserve">12.4 Aviso de productos de combustión peligrosos</w:t>
      </w:r>
    </w:p>
    <w:p>
      <w:pPr>
        <w:spacing w:after="120"/>
      </w:pPr>
      <w:r>
        <w:t xml:space="preserve">Algunas sustancias liberan gases tóxicos al arder. El dictamen lo advierte para que el mando lo considere al decidir entre extinguir o dejar arder de forma controlada: el acrilonitrilo libera cianuro de hidrógeno; el cloruro de vinilo y la epiclorhidrina, cloruro de hidrógeno y fosgeno; el disulfuro de carbono, dióxido de azufre; el óxido de etileno puede descomponerse de forma explosiva.</w:t>
      </w:r>
    </w:p>
    <w:p>
      <w:pPr>
        <w:pStyle w:val="Heading2"/>
      </w:pPr>
      <w:r>
        <w:t xml:space="preserve">12.5 Fase 2 — Líquidos corrosivos sin nube</w:t>
      </w:r>
    </w:p>
    <w:p>
      <w:pPr>
        <w:spacing w:after="120"/>
      </w:pPr>
      <w:r>
        <w:t xml:space="preserve">Muchos químicos industriales son líquidos corrosivos poco o nada volátiles cuyo peligro no es la inhalación de una nube, sino el contacto, la salpicadura, el vertido y la reacción. Para ellos, el motor de dispersión no aplica: la aplicación genera un dictamen corrosivo específico con EPI antisalpicaduras, perímetro de contacto, contención, incompatibilidades químicas y riesgo medioambiental.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1300"/>
        <w:gridCol w:w="4360"/>
      </w:tblGrid>
      <w:tr>
        <w:trPr>
          <w:tblHeader/>
        </w:trPr>
        <w:tc>
          <w:tcPr>
            <w:tcW w:type="dxa" w:w="37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Sustancia</w:t>
            </w:r>
          </w:p>
        </w:tc>
        <w:tc>
          <w:tcPr>
            <w:tcW w:type="dxa" w:w="13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ONU</w:t>
            </w:r>
          </w:p>
        </w:tc>
        <w:tc>
          <w:tcPr>
            <w:tcW w:type="dxa" w:w="436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Nota</w:t>
            </w:r>
          </w:p>
        </w:tc>
      </w:tr>
      <w:tr>
        <w:tc>
          <w:tcPr>
            <w:tcW w:type="dxa" w:w="37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Hidróxido de sodio (sosa)</w:t>
            </w:r>
          </w:p>
        </w:tc>
        <w:tc>
          <w:tcPr>
            <w:tcW w:type="dxa" w:w="13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1824</w:t>
            </w:r>
          </w:p>
        </w:tc>
        <w:tc>
          <w:tcPr>
            <w:tcW w:type="dxa" w:w="43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Cáustico; reacción exotérmica con ácidos</w:t>
            </w:r>
          </w:p>
        </w:tc>
      </w:tr>
      <w:tr>
        <w:tc>
          <w:tcPr>
            <w:tcW w:type="dxa" w:w="37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Cloruro férrico</w:t>
            </w:r>
          </w:p>
        </w:tc>
        <w:tc>
          <w:tcPr>
            <w:tcW w:type="dxa" w:w="13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2582</w:t>
            </w:r>
          </w:p>
        </w:tc>
        <w:tc>
          <w:tcPr>
            <w:tcW w:type="dxa" w:w="43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Floculante de depuradoras; muy contaminante del agua</w:t>
            </w:r>
          </w:p>
        </w:tc>
      </w:tr>
      <w:tr>
        <w:tc>
          <w:tcPr>
            <w:tcW w:type="dxa" w:w="37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Ácido fosfórico</w:t>
            </w:r>
          </w:p>
        </w:tc>
        <w:tc>
          <w:tcPr>
            <w:tcW w:type="dxa" w:w="13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1805</w:t>
            </w:r>
          </w:p>
        </w:tc>
        <w:tc>
          <w:tcPr>
            <w:tcW w:type="dxa" w:w="43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Corrosivo; eutrofización por fosfatos</w:t>
            </w:r>
          </w:p>
        </w:tc>
      </w:tr>
      <w:tr>
        <w:tc>
          <w:tcPr>
            <w:tcW w:type="dxa" w:w="37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Hipoclorito sódico (lejía)</w:t>
            </w:r>
          </w:p>
        </w:tc>
        <w:tc>
          <w:tcPr>
            <w:tcW w:type="dxa" w:w="13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1791</w:t>
            </w:r>
          </w:p>
        </w:tc>
        <w:tc>
          <w:tcPr>
            <w:tcW w:type="dxa" w:w="43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Con ácidos libera cloro gas tóxico</w:t>
            </w:r>
          </w:p>
        </w:tc>
      </w:tr>
      <w:tr>
        <w:tc>
          <w:tcPr>
            <w:tcW w:type="dxa" w:w="37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Hidróxido potásico (potasa)</w:t>
            </w:r>
          </w:p>
        </w:tc>
        <w:tc>
          <w:tcPr>
            <w:tcW w:type="dxa" w:w="13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1814</w:t>
            </w:r>
          </w:p>
        </w:tc>
        <w:tc>
          <w:tcPr>
            <w:tcW w:type="dxa" w:w="43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Cáustico; libera H₂ con metales ligeros</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1C1C" w:sz="1"/>
              <w:left w:val="single" w:color="B91C1C" w:sz="24"/>
              <w:bottom w:val="single" w:color="B91C1C" w:sz="1"/>
              <w:right w:val="single" w:color="B91C1C" w:sz="1"/>
            </w:tcBorders>
            <w:shd w:fill="EAF2F8" w:val="clear"/>
            <w:tcMar>
              <w:top w:type="dxa" w:w="120"/>
              <w:left w:type="dxa" w:w="160"/>
              <w:bottom w:type="dxa" w:w="120"/>
              <w:right w:type="dxa" w:w="160"/>
            </w:tcMar>
          </w:tcPr>
          <w:p>
            <w:pPr>
              <w:spacing w:after="60"/>
            </w:pPr>
            <w:r>
              <w:rPr>
                <w:b/>
                <w:bCs/>
                <w:color w:val="B91C1C"/>
              </w:rPr>
              <w:t xml:space="preserve">Incompatibilidad materializada</w:t>
            </w:r>
          </w:p>
          <w:p>
            <w:r>
              <w:t xml:space="preserve">Si se identifica un corrosivo (p. ej. hipoclorito) y a la vez se mide un gas tóxico (cloro), la aplicación entiende que la incompatibilidad ya se ha producido: el dictamen tóxico prevalece sobre el de contacto y se avisa de reacción en curso. Es el mecanismo que causa intoxicaciones reales por cloro en piscinas y limpiezas.</w:t>
            </w:r>
          </w:p>
        </w:tc>
      </w:tr>
    </w:tbl>
    <w:p>
      <w:pPr>
        <w:pStyle w:val="Heading2"/>
      </w:pPr>
      <w:r>
        <w:t xml:space="preserve">12.6 Subproductos de reacción con el contenedor</w:t>
      </w:r>
    </w:p>
    <w:p>
      <w:pPr>
        <w:spacing w:after="120"/>
      </w:pPr>
      <w:r>
        <w:t xml:space="preserve">Un ácido o una base en contacto con el metal del contenedor (acero, aluminio) puede liberar hidrógeno, creando una atmósfera explosiva. La aplicación lo predice a partir de la familia química de la sustancia y el material del contenedor. Caso típico: ácido fluorhídrico en disolución (ONU 1790) dentro de un contenedor metálico, donde además del doble peligro del HF (corrosivo grave con antídoto de gluconato cálcico, más vapores tóxicos) hay que vigilar el hidrógeno.</w:t>
      </w:r>
    </w:p>
    <w:p>
      <w:pPr>
        <w:pStyle w:val="Heading2"/>
      </w:pPr>
      <w:r>
        <w:t xml:space="preserve">12.7 Medición de hidrógeno: dos sensores, dos unidades</w:t>
      </w:r>
    </w:p>
    <w:p>
      <w:pPr>
        <w:spacing w:after="120"/>
      </w:pPr>
      <w:r>
        <w:t xml:space="preserve">El hidrógeno puede medirse de dos formas. El sensor MPS (NevadaNano) entrega directamente el porcentaje del límite de explosividad (% LEL). El sensor electroquímico (SensoriC H2 3E 4 %) mide concentración real en partes por millón, con un rango de cero a cuarenta mil ppm, que equivale a cero a cien por ciento del LEL. La aplicación convierte los ppm del electroquímico a % LEL empleando el límite real del hidrógeno: cuatro por ciento en volumen, es decir, cuarenta mil ppm equivalen al cien por cien del LEL. El hidrógeno no es tóxico; su riesgo es la explosividad.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6BA8" w:sz="1"/>
              <w:left w:val="single" w:color="0E6BA8" w:sz="24"/>
              <w:bottom w:val="single" w:color="0E6BA8" w:sz="1"/>
              <w:right w:val="single" w:color="0E6BA8" w:sz="1"/>
            </w:tcBorders>
            <w:shd w:fill="EAF2F8" w:val="clear"/>
            <w:tcMar>
              <w:top w:type="dxa" w:w="120"/>
              <w:left w:type="dxa" w:w="160"/>
              <w:bottom w:type="dxa" w:w="120"/>
              <w:right w:type="dxa" w:w="160"/>
            </w:tcMar>
          </w:tcPr>
          <w:p>
            <w:pPr>
              <w:spacing w:after="60"/>
            </w:pPr>
            <w:r>
              <w:rPr>
                <w:b/>
                <w:bCs/>
                <w:color w:val="0E6BA8"/>
              </w:rPr>
              <w:t xml:space="preserve">Canal correcto del hidrógeno</w:t>
            </w:r>
          </w:p>
          <w:p>
            <w:r>
              <w:t xml:space="preserve">Si lee el valor en el sensor electroquímico, introdúzcalo en partes por millón en el canal de hidrógeno y la aplicación lo convierte. Si lo lee en el MPS, ya está en porcentaje del LEL y va por el canal correspondiente. Conviene tener claro cuál de los dos sensores se está usando al introducir el dato.</w:t>
            </w:r>
          </w:p>
        </w:tc>
      </w:tr>
    </w:tbl>
    <w:p>
      <w:r>
        <w:br w:type="page"/>
      </w:r>
    </w:p>
    <w:p>
      <w:pPr>
        <w:pStyle w:val="Heading1"/>
      </w:pPr>
      <w:r>
        <w:t xml:space="preserve">13. Configuración de detectores y corrección de sensores</w:t>
      </w:r>
    </w:p>
    <w:p>
      <w:pPr>
        <w:spacing w:after="120"/>
      </w:pPr>
      <w:r>
        <w:t xml:space="preserve">La aplicación permite configurar los detectores reales del equipo y aplica correcciones basadas en datos oficiales de fabricante (RAE Systems by Honeywell y Dräger), de modo que las lecturas se interpreten con el rigor que corresponde a cada sensor.</w:t>
      </w:r>
    </w:p>
    <w:p>
      <w:pPr>
        <w:pStyle w:val="Heading2"/>
      </w:pPr>
      <w:r>
        <w:t xml:space="preserve">13.1 Configuración de detectores en el asistente</w:t>
      </w:r>
    </w:p>
    <w:p>
      <w:pPr>
        <w:spacing w:after="120"/>
      </w:pPr>
      <w:r>
        <w:t xml:space="preserve">El asistente comienza identificando la sustancia por número ONU; a continuación viene la configuración de detectores. Para cada detector (A principal y B de contraste opcional) se identifica el fabricante entre RAE, Dräger, MSA, Honeywell y Blackline, y se marcan las celdas que monta el equipo. Las celdas aparecen deseleccionadas por defecto: el operador marca únicamente las que lleva su unidad real, lo que evita arrastrar configuraciones que no corresponden. La celda de explosividad se muestra con la etiqueta «LEL». La configuración se guarda en el dispositivo y persiste entre intervenciones.</w:t>
      </w:r>
    </w:p>
    <w:p>
      <w:pPr>
        <w:spacing w:after="120"/>
      </w:pPr>
      <w:r>
        <w:t xml:space="preserve">Si se ha introducido el número ONU antes de configurar los detectores, las celdas que pueden aportar lectura de esa sustancia se resaltan en color: en verde las de lectura directa (la celda del propio gas, o la de explosividad si la sustancia es inflamable) y en ámbar las que podrían responder por sensibilidad cruzada según la tabla del fabricante. Una leyenda recuerda el significado de cada color. Este resaltado ayuda al operador a saber, de un vistazo, qué celdas de su equipo son útiles para la sustancia concreta.</w:t>
      </w:r>
    </w:p>
    <w:p>
      <w:pPr>
        <w:spacing w:after="120"/>
      </w:pPr>
      <w:r>
        <w:t xml:space="preserve">En el subpaso de lecturas, cada detector configurado genera automáticamente su propio panel con las celdas seleccionadas, listas para introducir las mediciones, sin necesidad de elegir configuraciones preestablecidas. Al cambiar de intervención, los paneles se regeneran con los detectores vigentes.</w:t>
      </w:r>
    </w:p>
    <w:p>
      <w:pPr>
        <w:pStyle w:val="Heading2"/>
      </w:pPr>
      <w:r>
        <w:t xml:space="preserve">13.2 Tipo de sensor de explosividad y gas de calibración</w:t>
      </w:r>
    </w:p>
    <w:p>
      <w:pPr>
        <w:spacing w:after="120"/>
      </w:pPr>
      <w:r>
        <w:t xml:space="preserve">Para la medida de explosividad, la aplicación distingue tres tipos de sensor: el MPS (sensor molecular, característico de Blackline), el LEL catalítico de perla, y el LEL infrarrojo. Los tres están disponibles para cualquier fabricante; el operador elige el que monta su unidad.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6BA8" w:sz="1"/>
              <w:left w:val="single" w:color="0E6BA8" w:sz="24"/>
              <w:bottom w:val="single" w:color="0E6BA8" w:sz="1"/>
              <w:right w:val="single" w:color="0E6BA8" w:sz="1"/>
            </w:tcBorders>
            <w:shd w:fill="EAF2F8" w:val="clear"/>
            <w:tcMar>
              <w:top w:type="dxa" w:w="120"/>
              <w:left w:type="dxa" w:w="160"/>
              <w:bottom w:type="dxa" w:w="120"/>
              <w:right w:type="dxa" w:w="160"/>
            </w:tcMar>
          </w:tcPr>
          <w:p>
            <w:pPr>
              <w:spacing w:after="60"/>
            </w:pPr>
            <w:r>
              <w:rPr>
                <w:b/>
                <w:bCs/>
                <w:color w:val="0E6BA8"/>
              </w:rPr>
              <w:t xml:space="preserve">Por qué importa el gas de calibración</w:t>
            </w:r>
          </w:p>
          <w:p>
            <w:r>
              <w:t xml:space="preserve">Un sensor LEL catalítico o infrarrojo muestra el porcentaje del límite de explosividad asumiendo que el gas presente es el de calibración. Si el gas real es distinto, la lectura debe corregirse. Por eso, al elegir sensor catalítico o infrarrojo, la aplicación pide el gas de calibración (metano, propano, butano o hexano). El MPS no necesita este dato, porque identifica el gas y entrega el porcentaje del límite de explosividad real.</w:t>
            </w:r>
          </w:p>
        </w:tc>
      </w:tr>
    </w:tbl>
    <w:p>
      <w:pPr>
        <w:pStyle w:val="Heading2"/>
      </w:pPr>
      <w:r>
        <w:t xml:space="preserve">13.3 Corrección de factores LEL</w:t>
      </w:r>
    </w:p>
    <w:p>
      <w:pPr>
        <w:spacing w:after="120"/>
      </w:pPr>
      <w:r>
        <w:t xml:space="preserve">Cuando el detector usa sensor catalítico o infrarrojo, está calibrado en un gas concreto, y la sustancia presente es otra ya identificada, la aplicación corrige la lectura aplicando el factor de respuesta del gas real respecto al gas de calibración. Los factores proceden de las notas técnicas oficiales de los fabricantes: los de RAE están referidos a metano (su base de calibración), y los de Dräger infrarrojo a propano (la suya), por lo que la aplicación los maneja por fabricante.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1C1C" w:sz="1"/>
              <w:left w:val="single" w:color="B91C1C" w:sz="24"/>
              <w:bottom w:val="single" w:color="B91C1C" w:sz="1"/>
              <w:right w:val="single" w:color="B91C1C" w:sz="1"/>
            </w:tcBorders>
            <w:shd w:fill="EAF2F8" w:val="clear"/>
            <w:tcMar>
              <w:top w:type="dxa" w:w="120"/>
              <w:left w:type="dxa" w:w="160"/>
              <w:bottom w:type="dxa" w:w="120"/>
              <w:right w:type="dxa" w:w="160"/>
            </w:tcMar>
          </w:tcPr>
          <w:p>
            <w:pPr>
              <w:spacing w:after="60"/>
            </w:pPr>
            <w:r>
              <w:rPr>
                <w:b/>
                <w:bCs/>
                <w:color w:val="B91C1C"/>
              </w:rPr>
              <w:t xml:space="preserve">Relevancia para la seguridad</w:t>
            </w:r>
          </w:p>
          <w:p>
            <w:r>
              <w:t xml:space="preserve">Un sensor catalítico calibrado en metano infravalora los hidrocarburos pesados. Por ejemplo, una lectura de 8 % LEL midiendo hexano corresponde en realidad a unos 18 % LEL (factor 2,3). Sin corrección, una atmósfera que parece tranquila puede estar próxima al umbral de alerta. La aplicación corrige la lectura y lo advierte expresamente en el dictamen.</w:t>
            </w:r>
          </w:p>
        </w:tc>
      </w:tr>
    </w:tbl>
    <w:p>
      <w:pPr>
        <w:pStyle w:val="Heading2"/>
      </w:pPr>
      <w:r>
        <w:t xml:space="preserve">13.4 Sensibilidades cruzadas por fabricante</w:t>
      </w:r>
    </w:p>
    <w:p>
      <w:pPr>
        <w:spacing w:after="120"/>
      </w:pPr>
      <w:r>
        <w:t xml:space="preserve">A partir de las tablas de interferencias de los datasheet oficiales de cada fabricante (Dräger, MSA, RAE/Honeywell y Blackline), la aplicación advierte cuando un gas medido puede estar falseando la lectura de otra celda. La aplicación elige automáticamente la tabla del fabricante del detector configurado, porque las interferencias difieren mucho entre marcas.</w:t>
      </w:r>
    </w:p>
    <w:p>
      <w:pPr>
        <w:spacing w:after="120"/>
      </w:pPr>
      <w:r>
        <w:t xml:space="preserve">Las diferencias entre fabricantes son grandes y conviene conocerlas. Por ejemplo, el hidrógeno produce una lectura falsa de monóxido de carbono que va desde un 12 % en Blackline hasta un 48 % en MSA, pasando por un 20 % en Dräger y un 40 % en RAE/Honeywell. Por eso aplicar la tabla equivocada daría avisos desviados.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1C1C" w:sz="1"/>
              <w:left w:val="single" w:color="B91C1C" w:sz="24"/>
              <w:bottom w:val="single" w:color="B91C1C" w:sz="1"/>
              <w:right w:val="single" w:color="B91C1C" w:sz="1"/>
            </w:tcBorders>
            <w:shd w:fill="EAF2F8" w:val="clear"/>
            <w:tcMar>
              <w:top w:type="dxa" w:w="120"/>
              <w:left w:type="dxa" w:w="160"/>
              <w:bottom w:type="dxa" w:w="120"/>
              <w:right w:type="dxa" w:w="160"/>
            </w:tcMar>
          </w:tcPr>
          <w:p>
            <w:pPr>
              <w:spacing w:after="60"/>
            </w:pPr>
            <w:r>
              <w:rPr>
                <w:b/>
                <w:bCs/>
                <w:color w:val="B91C1C"/>
              </w:rPr>
              <w:t xml:space="preserve">Interferencia crítica: H₂S en la celda de HCN</w:t>
            </w:r>
          </w:p>
          <w:p>
            <w:r>
              <w:t xml:space="preserve">La interferencia más peligrosa documentada es la del sulfuro de hidrógeno sobre la celda de cianuro de hidrógeno. En los sensores Dräger y MSA, el H₂S dispara la lectura de HCN un 300 %; en los de RAE/Honeywell, hasta un 600 %, hasta el punto de que el fabricante advierte que ese sensor no es apto para atmósferas con H₂S. En un ambiente con sulfhídrico, una lectura de cianuro puede estar enormemente inflada. La aplicación lo advierte de forma reforzada.</w:t>
            </w:r>
          </w:p>
        </w:tc>
      </w:tr>
    </w:tbl>
    <w:p>
      <w:pPr>
        <w:spacing w:after="120"/>
      </w:pPr>
      <w:r>
        <w:t xml:space="preserve">El principio aplicado es de seguridad: la aplicación avisa de la posible interferencia, pero nunca reduce en silencio un valor medido; la decisión queda en manos del mando, que debe verificar con el detector de contraste o con lectura selectiva. Las interferencias negativas (un gas que hunde la lectura de otro) reciben atención especial, porque pueden ocultar un gas realmente presente y evitar una alarma.</w:t>
      </w:r>
    </w:p>
    <w:p>
      <w:pPr>
        <w:pStyle w:val="Heading2"/>
      </w:pPr>
      <w:r>
        <w:t xml:space="preserve">13.5 Medición de hidrógeno con dos sensores</w:t>
      </w:r>
    </w:p>
    <w:p>
      <w:pPr>
        <w:spacing w:after="120"/>
      </w:pPr>
      <w:r>
        <w:t xml:space="preserve">El hidrógeno puede medirse de dos formas. El sensor MPS entrega directamente el porcentaje del límite de explosividad. El sensor electroquímico mide concentración real en partes por millón, con un fondo de escala de cuarenta mil ppm que equivale al cien por cien del límite de explosividad (cuatro por ciento en volumen). La aplicación convierte los ppm del electroquímico a porcentaje del límite de explosividad empleando ese límite real. El hidrógeno no es tóxico; su riesgo es la explosividad.</w:t>
      </w:r>
    </w:p>
    <w:p>
      <w:pPr>
        <w:pStyle w:val="Heading2"/>
      </w:pPr>
      <w:r>
        <w:t xml:space="preserve">13.6 Estimación previa y lectura aproximada esperada</w:t>
      </w:r>
    </w:p>
    <w:p>
      <w:pPr>
        <w:spacing w:after="120"/>
      </w:pPr>
      <w:r>
        <w:t xml:space="preserve">El paso de equipos y lecturas está dividido en dos subpasos para garantizar el orden correcto del cálculo. En el primer subpaso se introduce la distancia al foco y, si procede, se estima el tamaño de la fuga o del charco; con ello la aplicación calcula la tasa de emisión y la concentración esperada. En el segundo subpaso se introducen las lecturas reales de cada celda. Hacer la estimación antes de las lecturas asegura que, cuando el operador vaya a anotar las mediciones, la concentración esperada ya esté calculada.</w:t>
      </w:r>
    </w:p>
    <w:p>
      <w:pPr>
        <w:spacing w:after="120"/>
      </w:pPr>
      <w:r>
        <w:t xml:space="preserve">En el subpaso de lecturas, si hay una estimación de derrame activa, junto a cada celda aparece entre paréntesis la lectura aproximada que debería dar el bombero a la distancia indicada. Para la celda de lectura directa se muestra el valor en partes por millón (o el porcentaje del límite de explosividad si la sustancia es inflamable); para las celdas que responden por sensibilidad cruzada se muestra el valor que daría la interferencia, calculado con el factor del fabricante y con su signo. El valor directo se resalta en verde y el cruzado en ámbar, en coherencia con el coloreado de la configuración de detectores.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45309" w:sz="1"/>
              <w:left w:val="single" w:color="B45309" w:sz="24"/>
              <w:bottom w:val="single" w:color="B45309" w:sz="1"/>
              <w:right w:val="single" w:color="B45309" w:sz="1"/>
            </w:tcBorders>
            <w:shd w:fill="EAF2F8" w:val="clear"/>
            <w:tcMar>
              <w:top w:type="dxa" w:w="120"/>
              <w:left w:type="dxa" w:w="160"/>
              <w:bottom w:type="dxa" w:w="120"/>
              <w:right w:type="dxa" w:w="160"/>
            </w:tcMar>
          </w:tcPr>
          <w:p>
            <w:pPr>
              <w:spacing w:after="60"/>
            </w:pPr>
            <w:r>
              <w:rPr>
                <w:b/>
                <w:bCs/>
                <w:color w:val="B45309"/>
              </w:rPr>
              <w:t xml:space="preserve">Carácter orientativo de la lectura esperada</w:t>
            </w:r>
          </w:p>
          <w:p>
            <w:r>
              <w:t xml:space="preserve">La lectura esperada es una estimación por modelo de dispersión a partir del caudal calculado: indica el orden de magnitud que cabe esperar, no un valor exacto. Solo se muestra cuando existe una estimación de derrame, porque sin ella no hay base física para proyectar una cifra. Debe contrastarse siempre con la lectura real del detector; una discrepancia grande es, en sí misma, una señal que merece atención (fuente distinta de la supuesta, interferencia, o error de medida).</w:t>
            </w:r>
          </w:p>
        </w:tc>
      </w:tr>
    </w:tbl>
    <w:p>
      <w:r>
        <w:br w:type="page"/>
      </w:r>
    </w:p>
    <w:p>
      <w:pPr>
        <w:pStyle w:val="Heading1"/>
      </w:pPr>
      <w:r>
        <w:t xml:space="preserve">14. Alcance del modelo de dispersión</w:t>
      </w:r>
    </w:p>
    <w:p>
      <w:pPr>
        <w:spacing w:after="120"/>
      </w:pPr>
      <w:r>
        <w:t xml:space="preserve">Esta sección sitúa con honestidad la herramienta dentro de la jerarquía de modelos de dispersión atmosférica, para que el usuario sepa qué puede esperar de ella y qué no.</w:t>
      </w:r>
    </w:p>
    <w:p>
      <w:pPr>
        <w:pStyle w:val="Heading2"/>
      </w:pPr>
      <w:r>
        <w:t xml:space="preserve">14.1 La jerarquía de modelos</w:t>
      </w:r>
    </w:p>
    <w:p>
      <w:pPr>
        <w:spacing w:after="120"/>
      </w:pPr>
      <w:r>
        <w:t xml:space="preserve">Los modelos de dispersión se agrupan en tres niveles de creciente sofisticación y coste: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3460"/>
        <w:gridCol w:w="2400"/>
      </w:tblGrid>
      <w:tr>
        <w:trPr>
          <w:tblHeader/>
        </w:trPr>
        <w:tc>
          <w:tcPr>
            <w:tcW w:type="dxa" w:w="9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Nivel</w:t>
            </w:r>
          </w:p>
        </w:tc>
        <w:tc>
          <w:tcPr>
            <w:tcW w:type="dxa" w:w="32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Tipo</w:t>
            </w:r>
          </w:p>
        </w:tc>
        <w:tc>
          <w:tcPr>
            <w:tcW w:type="dxa" w:w="346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Ejemplos</w:t>
            </w:r>
          </w:p>
        </w:tc>
        <w:tc>
          <w:tcPr>
            <w:tcW w:type="dxa" w:w="24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Coste de cálculo</w:t>
            </w:r>
          </w:p>
        </w:tc>
      </w:tr>
      <w:tr>
        <w:tc>
          <w:tcPr>
            <w:tcW w:type="dxa" w:w="9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1</w:t>
            </w:r>
          </w:p>
        </w:tc>
        <w:tc>
          <w:tcPr>
            <w:tcW w:type="dxa" w:w="32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Gaussiano / tablas algebraicas</w:t>
            </w:r>
          </w:p>
        </w:tc>
        <w:tc>
          <w:tcPr>
            <w:tcW w:type="dxa" w:w="34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ALOHA (gaussiano), ERG, SITAC NBQ</w:t>
            </w:r>
          </w:p>
        </w:tc>
        <w:tc>
          <w:tcPr>
            <w:tcW w:type="dxa" w:w="2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Milisegundos (móvil)</w:t>
            </w:r>
          </w:p>
        </w:tc>
      </w:tr>
      <w:tr>
        <w:tc>
          <w:tcPr>
            <w:tcW w:type="dxa" w:w="9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2</w:t>
            </w:r>
          </w:p>
        </w:tc>
        <w:tc>
          <w:tcPr>
            <w:tcW w:type="dxa" w:w="32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Integrales de jet/pluma (ODEs validadas)</w:t>
            </w:r>
          </w:p>
        </w:tc>
        <w:tc>
          <w:tcPr>
            <w:tcW w:type="dxa" w:w="34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HGSYSTEM, PHAST/UDM, DEGADIS, SLAB</w:t>
            </w:r>
          </w:p>
        </w:tc>
        <w:tc>
          <w:tcPr>
            <w:tcW w:type="dxa" w:w="2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Segundos (PC + experto)</w:t>
            </w:r>
          </w:p>
        </w:tc>
      </w:tr>
      <w:tr>
        <w:tc>
          <w:tcPr>
            <w:tcW w:type="dxa" w:w="9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3</w:t>
            </w:r>
          </w:p>
        </w:tc>
        <w:tc>
          <w:tcPr>
            <w:tcW w:type="dxa" w:w="32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CFD (Navier-Stokes en malla 3D)</w:t>
            </w:r>
          </w:p>
        </w:tc>
        <w:tc>
          <w:tcPr>
            <w:tcW w:type="dxa" w:w="34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FLACS, ANSYS Fluent, OpenFOAM</w:t>
            </w:r>
          </w:p>
        </w:tc>
        <w:tc>
          <w:tcPr>
            <w:tcW w:type="dxa" w:w="2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Horas-días (clúster)</w:t>
            </w:r>
          </w:p>
        </w:tc>
      </w:tr>
    </w:tbl>
    <w:p>
      <w:pPr>
        <w:spacing w:after="80"/>
      </w:pPr>
      <w:r>
        <w:t xml:space="preserve"/>
      </w:r>
    </w:p>
    <w:p>
      <w:pPr>
        <w:spacing w:after="120"/>
      </w:pPr>
      <w:r>
        <w:t xml:space="preserve">SITAC NBQ se sitúa firmemente en el Nivel 1. Las mejoras físicas que incorpora (jet a presión, slumping de gas denso, efecto de temperatura y humedad, canalización topográfica) son heurísticas con la forma física correcta, no soluciones de las ecuaciones de gobierno.</w:t>
      </w:r>
    </w:p>
    <w:p>
      <w:pPr>
        <w:pStyle w:val="Heading2"/>
      </w:pPr>
      <w:r>
        <w:t xml:space="preserve">14.2 Qué nos separa de un modelo integral validado (Nivel 2)</w:t>
      </w:r>
    </w:p>
    <w:p>
      <w:pPr>
        <w:pStyle w:val="ListParagraph"/>
        <w:numPr>
          <w:ilvl w:val="0"/>
          <w:numId w:val="2"/>
        </w:numPr>
        <w:spacing w:after="60"/>
      </w:pPr>
      <w:r>
        <w:t xml:space="preserve">Conservación: un modelo integral como HGSYSTEM resuelve la conservación de masa, momento y energía a lo largo de la pluma, con arrastre de aire calculado físicamente. La herramienta aproxima esa curva con una función de forma cualitativa correcta, pero que no conserva las magnitudes.</w:t>
      </w:r>
    </w:p>
    <w:p>
      <w:pPr>
        <w:pStyle w:val="ListParagraph"/>
        <w:numPr>
          <w:ilvl w:val="0"/>
          <w:numId w:val="2"/>
        </w:numPr>
        <w:spacing w:after="60"/>
      </w:pPr>
      <w:r>
        <w:t xml:space="preserve">Termodinámica de la fuga: HGSYSTEM modela el flash (vaporización súbita al despresurizar un gas licuado), el rainout (gotas que caen y forman charco) y el aerosol bifásico. La herramienta trata la salida como líquido o gas, sin las dos fases.</w:t>
      </w:r>
    </w:p>
    <w:p>
      <w:pPr>
        <w:pStyle w:val="ListParagraph"/>
        <w:numPr>
          <w:ilvl w:val="0"/>
          <w:numId w:val="2"/>
        </w:numPr>
        <w:spacing w:after="60"/>
      </w:pPr>
      <w:r>
        <w:t xml:space="preserve">Validación: HGSYSTEM, DEGADIS y SLAB están contrastados contra liberaciones reales medidas en campo (Thorney Island, Burro, Desert Tortoise). Sus errores están caracterizados, típicamente en torno a un factor 2 en concentración. Las heurísticas de esta herramienta no están validadas experimentalmente.</w:t>
      </w:r>
    </w:p>
    <w:p>
      <w:pPr>
        <w:pStyle w:val="Heading2"/>
      </w:pPr>
      <w:r>
        <w:t xml:space="preserve">14.3 Qué nos separa de un CFD (Nivel 3)</w:t>
      </w:r>
    </w:p>
    <w:p>
      <w:pPr>
        <w:spacing w:after="120"/>
      </w:pPr>
      <w:r>
        <w:t xml:space="preserve">Además de todo lo anterior, un CFD resuelve el campo de viento sobre el terreno real (aceleración sobre colinas, estancamiento y recirculación tras edificios, efecto cañón urbano, turbulencia). La herramienta solo desvía los puffs hacia las cotas bajas con una heurística de gradiente. Ese nivel de detalle es inalcanzable en una aplicación de campo y, en general, innecesario para el primer despliegue.</w:t>
      </w:r>
    </w:p>
    <w:p>
      <w:pPr>
        <w:pStyle w:val="Heading2"/>
      </w:pPr>
      <w:r>
        <w:t xml:space="preserve">14.4 Para qué sirve cada nivel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500"/>
        <w:gridCol w:w="2400"/>
        <w:gridCol w:w="2260"/>
      </w:tblGrid>
      <w:tr>
        <w:trPr>
          <w:tblHeader/>
        </w:trPr>
        <w:tc>
          <w:tcPr>
            <w:tcW w:type="dxa" w:w="22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Aspecto</w:t>
            </w:r>
          </w:p>
        </w:tc>
        <w:tc>
          <w:tcPr>
            <w:tcW w:type="dxa" w:w="25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SITAC NBQ (N1)</w:t>
            </w:r>
          </w:p>
        </w:tc>
        <w:tc>
          <w:tcPr>
            <w:tcW w:type="dxa" w:w="24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HGSYSTEM/PHAST (N2)</w:t>
            </w:r>
          </w:p>
        </w:tc>
        <w:tc>
          <w:tcPr>
            <w:tcW w:type="dxa" w:w="226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CFD (N3)</w:t>
            </w:r>
          </w:p>
        </w:tc>
      </w:tr>
      <w:tr>
        <w:tc>
          <w:tcPr>
            <w:tcW w:type="dxa" w:w="22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Momento de uso</w:t>
            </w:r>
          </w:p>
        </w:tc>
        <w:tc>
          <w:tcPr>
            <w:tcW w:type="dxa" w:w="25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Primer despliegue, en campo</w:t>
            </w:r>
          </w:p>
        </w:tc>
        <w:tc>
          <w:tcPr>
            <w:tcW w:type="dxa" w:w="2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Análisis de riesgo, peritaje</w:t>
            </w:r>
          </w:p>
        </w:tc>
        <w:tc>
          <w:tcPr>
            <w:tcW w:type="dxa" w:w="22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Diseño de planta, forense</w:t>
            </w:r>
          </w:p>
        </w:tc>
      </w:tr>
      <w:tr>
        <w:tc>
          <w:tcPr>
            <w:tcW w:type="dxa" w:w="22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Tiempo</w:t>
            </w:r>
          </w:p>
        </w:tc>
        <w:tc>
          <w:tcPr>
            <w:tcW w:type="dxa" w:w="25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Instantáneo</w:t>
            </w:r>
          </w:p>
        </w:tc>
        <w:tc>
          <w:tcPr>
            <w:tcW w:type="dxa" w:w="2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Minutos (con experto)</w:t>
            </w:r>
          </w:p>
        </w:tc>
        <w:tc>
          <w:tcPr>
            <w:tcW w:type="dxa" w:w="22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Horas-días</w:t>
            </w:r>
          </w:p>
        </w:tc>
      </w:tr>
      <w:tr>
        <w:tc>
          <w:tcPr>
            <w:tcW w:type="dxa" w:w="22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Operador</w:t>
            </w:r>
          </w:p>
        </w:tc>
        <w:tc>
          <w:tcPr>
            <w:tcW w:type="dxa" w:w="25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El mando en campo</w:t>
            </w:r>
          </w:p>
        </w:tc>
        <w:tc>
          <w:tcPr>
            <w:tcW w:type="dxa" w:w="2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Ingeniero de seguridad</w:t>
            </w:r>
          </w:p>
        </w:tc>
        <w:tc>
          <w:tcPr>
            <w:tcW w:type="dxa" w:w="22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Especialista CFD</w:t>
            </w:r>
          </w:p>
        </w:tc>
      </w:tr>
      <w:tr>
        <w:tc>
          <w:tcPr>
            <w:tcW w:type="dxa" w:w="22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Validado</w:t>
            </w:r>
          </w:p>
        </w:tc>
        <w:tc>
          <w:tcPr>
            <w:tcW w:type="dxa" w:w="25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No</w:t>
            </w:r>
          </w:p>
        </w:tc>
        <w:tc>
          <w:tcPr>
            <w:tcW w:type="dxa" w:w="2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Sí</w:t>
            </w:r>
          </w:p>
        </w:tc>
        <w:tc>
          <w:tcPr>
            <w:tcW w:type="dxa" w:w="22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Sí</w:t>
            </w:r>
          </w:p>
        </w:tc>
      </w:tr>
    </w:tbl>
    <w:p>
      <w:pPr>
        <w:spacing w:after="80"/>
      </w:pPr>
      <w:r>
        <w:t xml:space="preserve"/>
      </w:r>
    </w:p>
    <w:p>
      <w:pPr>
        <w:spacing w:after="120"/>
      </w:pPr>
      <w:r>
        <w:t xml:space="preserve">SITAC NBQ no compite con los modelos de Nivel 2 ni 3: ocupa deliberadamente otro lugar. Su valor es ofrecer un orden de magnitud y una tendencia en segundos cuando se está llegando al incidente sin otra herramienta. Un modelo integral da una cifra defendible más tarde, en un despacho y con un experto. No son sustitutos, sino momentos distintos de la respuesta. Por eso la herramienta integra la importación de la huella de ALOHA: para incorporar el cálculo de mayor nivel cuando esté disponible.</w:t>
      </w:r>
    </w:p>
    <w:p>
      <w:pPr>
        <w:pStyle w:val="Heading2"/>
      </w:pPr>
      <w:r>
        <w:t xml:space="preserve">14.5 Cuantificación honesta de la incertidumbre</w:t>
      </w:r>
    </w:p>
    <w:p>
      <w:pPr>
        <w:pStyle w:val="ListParagraph"/>
        <w:numPr>
          <w:ilvl w:val="0"/>
          <w:numId w:val="2"/>
        </w:numPr>
        <w:spacing w:after="60"/>
      </w:pPr>
      <w:r>
        <w:t xml:space="preserve">En fenomenología (hacia dónde va la nube, si sube o baja, si el chorro va alto cerca del foco), las tendencias son razonablemente correctas.</w:t>
      </w:r>
    </w:p>
    <w:p>
      <w:pPr>
        <w:pStyle w:val="ListParagraph"/>
        <w:numPr>
          <w:ilvl w:val="0"/>
          <w:numId w:val="2"/>
        </w:numPr>
        <w:spacing w:after="60"/>
      </w:pPr>
      <w:r>
        <w:t xml:space="preserve">En precisión numérica (cuántas ppm exactamente a una distancia dada), el error puede situarse fácilmente en un factor 3 a 10, frente al factor 2 de un modelo integral validado, y además ese error no está caracterizado experimentalmente.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1C1C" w:sz="1"/>
              <w:left w:val="single" w:color="B91C1C" w:sz="24"/>
              <w:bottom w:val="single" w:color="B91C1C" w:sz="1"/>
              <w:right w:val="single" w:color="B91C1C" w:sz="1"/>
            </w:tcBorders>
            <w:shd w:fill="EAF2F8" w:val="clear"/>
            <w:tcMar>
              <w:top w:type="dxa" w:w="120"/>
              <w:left w:type="dxa" w:w="160"/>
              <w:bottom w:type="dxa" w:w="120"/>
              <w:right w:type="dxa" w:w="160"/>
            </w:tcMar>
          </w:tcPr>
          <w:p>
            <w:pPr>
              <w:spacing w:after="60"/>
            </w:pPr>
            <w:r>
              <w:rPr>
                <w:b/>
                <w:bCs/>
                <w:color w:val="B91C1C"/>
              </w:rPr>
              <w:t xml:space="preserve">Conclusión</w:t>
            </w:r>
          </w:p>
          <w:p>
            <w:r>
              <w:t xml:space="preserve">La insistencia de la herramienta en «estimación de gabinete, aplicar el método más restrictivo» no es una fórmula legal: refleja el lugar real que ocupa. Para la valoración oficial, use un modelo validado (ALOHA o superior) e importe su huella.</w:t>
            </w:r>
          </w:p>
        </w:tc>
      </w:tr>
    </w:tbl>
    <w:p>
      <w:r>
        <w:br w:type="page"/>
      </w:r>
    </w:p>
    <w:p>
      <w:pPr>
        <w:pStyle w:val="Heading1"/>
      </w:pPr>
      <w:r>
        <w:t xml:space="preserve">15. Fuentes normativas y limitaciones</w:t>
      </w:r>
    </w:p>
    <w:p>
      <w:pPr>
        <w:pStyle w:val="Heading2"/>
      </w:pPr>
      <w:r>
        <w:t xml:space="preserve">15.1 Fuentes</w:t>
      </w:r>
    </w:p>
    <w:p>
      <w:pPr>
        <w:pStyle w:val="ListParagraph"/>
        <w:numPr>
          <w:ilvl w:val="0"/>
          <w:numId w:val="2"/>
        </w:numPr>
        <w:spacing w:after="60"/>
      </w:pPr>
      <w:r>
        <w:t xml:space="preserve">Umbrales tóxicos: U.S. EPA AEGL-1/2/3 a 60 min (NRC/NAS).</w:t>
      </w:r>
    </w:p>
    <w:p>
      <w:pPr>
        <w:pStyle w:val="ListParagraph"/>
        <w:numPr>
          <w:ilvl w:val="0"/>
          <w:numId w:val="2"/>
        </w:numPr>
        <w:spacing w:after="60"/>
      </w:pPr>
      <w:r>
        <w:t xml:space="preserve">Inflamables: NFPA 72 / ATEX 2014/34/UE; datasheet del sensor MPS de NevadaNano (IEC 60079-20-1).</w:t>
      </w:r>
    </w:p>
    <w:p>
      <w:pPr>
        <w:pStyle w:val="ListParagraph"/>
        <w:numPr>
          <w:ilvl w:val="0"/>
          <w:numId w:val="2"/>
        </w:numPr>
        <w:spacing w:after="60"/>
      </w:pPr>
      <w:r>
        <w:t xml:space="preserve">Emergencia: CANUTEC ERG 2024, Tabla 1 (Cl₂ y NH₃ contrastados con NIOSH/CDC).</w:t>
      </w:r>
    </w:p>
    <w:p>
      <w:pPr>
        <w:pStyle w:val="ListParagraph"/>
        <w:numPr>
          <w:ilvl w:val="0"/>
          <w:numId w:val="2"/>
        </w:numPr>
        <w:spacing w:after="60"/>
      </w:pPr>
      <w:r>
        <w:t xml:space="preserve">Transporte: ADR 2025 / Libro Naranja ONU; RD 97/2014 (España).</w:t>
      </w:r>
    </w:p>
    <w:p>
      <w:pPr>
        <w:pStyle w:val="ListParagraph"/>
        <w:numPr>
          <w:ilvl w:val="0"/>
          <w:numId w:val="2"/>
        </w:numPr>
        <w:spacing w:after="60"/>
      </w:pPr>
      <w:r>
        <w:t xml:space="preserve">Modelo de gas denso: Britter &amp; McQuaid (1988); documentación técnica de ALOHA (NOAA/EPA).</w:t>
      </w:r>
    </w:p>
    <w:p>
      <w:pPr>
        <w:pStyle w:val="ListParagraph"/>
        <w:numPr>
          <w:ilvl w:val="0"/>
          <w:numId w:val="2"/>
        </w:numPr>
        <w:spacing w:after="60"/>
      </w:pPr>
      <w:r>
        <w:t xml:space="preserve">Propiedades físicas (densidad, presión de vapor): NIOSH Pocket Guide, CAMEO Chemicals, fichas de seguridad.</w:t>
      </w:r>
    </w:p>
    <w:p>
      <w:pPr>
        <w:pStyle w:val="ListParagraph"/>
        <w:numPr>
          <w:ilvl w:val="0"/>
          <w:numId w:val="2"/>
        </w:numPr>
        <w:spacing w:after="60"/>
      </w:pPr>
      <w:r>
        <w:t xml:space="preserve">Sensores: Blackline Safety; City Technology / Sensoric / NevadaNano MPS.</w:t>
      </w:r>
    </w:p>
    <w:p>
      <w:pPr>
        <w:pStyle w:val="ListParagraph"/>
        <w:numPr>
          <w:ilvl w:val="0"/>
          <w:numId w:val="2"/>
        </w:numPr>
        <w:spacing w:after="60"/>
      </w:pPr>
      <w:r>
        <w:t xml:space="preserve">Cartografía y elevación: OpenStreetMap, Esri World Imagery, API de elevación Open-Meteo.</w:t>
      </w:r>
    </w:p>
    <w:p>
      <w:pPr>
        <w:pStyle w:val="Heading2"/>
      </w:pPr>
      <w:r>
        <w:t xml:space="preserve">15.2 Limitaciones generales</w:t>
      </w:r>
    </w:p>
    <w:p>
      <w:pPr>
        <w:pStyle w:val="ListParagraph"/>
        <w:numPr>
          <w:ilvl w:val="0"/>
          <w:numId w:val="2"/>
        </w:numPr>
        <w:spacing w:after="60"/>
      </w:pPr>
      <w:r>
        <w:t xml:space="preserve">Herramienta de apoyo a la decisión; no es un instrumento de medida ni un código de dispersión certificado.</w:t>
      </w:r>
    </w:p>
    <w:p>
      <w:pPr>
        <w:pStyle w:val="ListParagraph"/>
        <w:numPr>
          <w:ilvl w:val="0"/>
          <w:numId w:val="2"/>
        </w:numPr>
        <w:spacing w:after="60"/>
      </w:pPr>
      <w:r>
        <w:t xml:space="preserve">Las probabilidades, niveles y plumas son orientativos y dependen de la calidad de las lecturas introducidas.</w:t>
      </w:r>
    </w:p>
    <w:p>
      <w:pPr>
        <w:pStyle w:val="ListParagraph"/>
        <w:numPr>
          <w:ilvl w:val="0"/>
          <w:numId w:val="2"/>
        </w:numPr>
        <w:spacing w:after="60"/>
      </w:pPr>
      <w:r>
        <w:t xml:space="preserve">El modelo de gas denso es la correlación de Britter-McQuaid (la física de ALOHA), no ALOHA ni un CFD; la canalización topográfica es heurística.</w:t>
      </w:r>
    </w:p>
    <w:p>
      <w:pPr>
        <w:pStyle w:val="ListParagraph"/>
        <w:numPr>
          <w:ilvl w:val="0"/>
          <w:numId w:val="2"/>
        </w:numPr>
        <w:spacing w:after="60"/>
      </w:pPr>
      <w:r>
        <w:t xml:space="preserve">La meteorología y la cartografía dependen de servicios externos; sin red se opera con datos manuales y caché.</w:t>
      </w:r>
    </w:p>
    <w:p>
      <w:pPr>
        <w:spacing w:after="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1C1C" w:sz="1"/>
              <w:left w:val="single" w:color="B91C1C" w:sz="24"/>
              <w:bottom w:val="single" w:color="B91C1C" w:sz="1"/>
              <w:right w:val="single" w:color="B91C1C" w:sz="1"/>
            </w:tcBorders>
            <w:shd w:fill="EAF2F8" w:val="clear"/>
            <w:tcMar>
              <w:top w:type="dxa" w:w="120"/>
              <w:left w:type="dxa" w:w="160"/>
              <w:bottom w:type="dxa" w:w="120"/>
              <w:right w:type="dxa" w:w="160"/>
            </w:tcMar>
          </w:tcPr>
          <w:p>
            <w:pPr>
              <w:spacing w:after="60"/>
            </w:pPr>
            <w:r>
              <w:rPr>
                <w:b/>
                <w:bCs/>
                <w:color w:val="B91C1C"/>
              </w:rPr>
              <w:t xml:space="preserve">Recordatorio final</w:t>
            </w:r>
          </w:p>
          <w:p>
            <w:r>
              <w:t xml:space="preserve">Ninguna salida de SITAC NBQ sustituye la confirmación analítica de campo, el bump test de contraste ni el criterio del mando. Ante cualquier duda, máxima restricción.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6"/>
        <w:szCs w:val="16"/>
      </w:rPr>
      <w:t xml:space="preserve">SITAC NBQ · no sustituye la confirmación de campo · Página </w:t>
    </w:r>
    <w:r>
      <w:rPr>
        <w:color w:val="47556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6E2" w:sz="4" w:space="2"/>
      </w:pBdr>
      <w:jc w:val="right"/>
    </w:pPr>
    <w:r>
      <w:rPr>
        <w:color w:val="475569"/>
        <w:sz w:val="16"/>
        <w:szCs w:val="16"/>
      </w:rPr>
      <w:t xml:space="preserve">SITAC NBQ — Manual de usuario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E6BA8" w:sz="6" w:space="4"/>
      </w:pBdr>
      <w:spacing w:after="160" w:before="300"/>
      <w:outlineLvl w:val="0"/>
    </w:pPr>
    <w:rPr>
      <w:rFonts w:ascii="Cambria" w:cs="Cambria" w:eastAsia="Cambria" w:hAnsi="Cambria"/>
      <w:b/>
      <w:bCs/>
      <w:color w:val="0B1F3A"/>
      <w:sz w:val="34"/>
      <w:szCs w:val="34"/>
    </w:rPr>
  </w:style>
  <w:style w:type="paragraph" w:styleId="Heading2">
    <w:name w:val="Heading 2"/>
    <w:basedOn w:val="Normal"/>
    <w:next w:val="Normal"/>
    <w:qFormat/>
    <w:pPr>
      <w:spacing w:after="100" w:before="200"/>
      <w:outlineLvl w:val="1"/>
    </w:pPr>
    <w:rPr>
      <w:rFonts w:ascii="Cambria" w:cs="Cambria" w:eastAsia="Cambria" w:hAnsi="Cambria"/>
      <w:b/>
      <w:bCs/>
      <w:color w:val="0E6BA8"/>
      <w:sz w:val="26"/>
      <w:szCs w:val="26"/>
    </w:rPr>
  </w:style>
  <w:style w:type="paragraph" w:styleId="Heading3">
    <w:name w:val="Heading 3"/>
    <w:basedOn w:val="Normal"/>
    <w:next w:val="Normal"/>
    <w:qFormat/>
    <w:pPr>
      <w:spacing w:after="80" w:before="140"/>
      <w:outlineLvl w:val="2"/>
    </w:pPr>
    <w:rPr>
      <w:rFonts w:ascii="Calibri" w:cs="Calibri" w:eastAsia="Calibri" w:hAnsi="Calibri"/>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 SITAC NBQ</dc:title>
  <dc:creator>SITAC NBQ</dc:creator>
  <cp:lastModifiedBy>Un-named</cp:lastModifiedBy>
  <cp:revision>1</cp:revision>
  <dcterms:created xsi:type="dcterms:W3CDTF">2026-06-23T20:40:19.023Z</dcterms:created>
  <dcterms:modified xsi:type="dcterms:W3CDTF">2026-06-23T20:40:19.037Z</dcterms:modified>
</cp:coreProperties>
</file>

<file path=docProps/custom.xml><?xml version="1.0" encoding="utf-8"?>
<Properties xmlns="http://schemas.openxmlformats.org/officeDocument/2006/custom-properties" xmlns:vt="http://schemas.openxmlformats.org/officeDocument/2006/docPropsVTypes"/>
</file>