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jc w:val="center"/>
      </w:pPr>
      <w:r>
        <w:rPr>
          <w:b/>
          <w:bCs/>
          <w:color w:val="1F3864"/>
          <w:sz w:val="44"/>
          <w:szCs w:val="44"/>
        </w:rPr>
        <w:t xml:space="preserve">HPI-CT User Guide</w:t>
      </w:r>
    </w:p>
    <w:p>
      <w:pPr>
        <w:spacing w:after="60"/>
        <w:jc w:val="center"/>
      </w:pPr>
      <w:r>
        <w:rPr>
          <w:color w:val="2E5496"/>
          <w:sz w:val="24"/>
          <w:szCs w:val="24"/>
        </w:rPr>
        <w:t xml:space="preserve">How the Healthcare Program Integrity Control Toolkit works — and how to put it to work</w:t>
      </w:r>
    </w:p>
    <w:p>
      <w:pPr>
        <w:spacing w:after="300"/>
        <w:jc w:val="center"/>
      </w:pPr>
      <w:r>
        <w:rPr>
          <w:i/>
          <w:iCs/>
          <w:color w:val="595959"/>
          <w:sz w:val="18"/>
          <w:szCs w:val="18"/>
        </w:rPr>
        <w:t xml:space="preserve">v1.0 · July 2026 · Draft for review · Free, public-source, vendor-neutral · focusfusionuniverse@gmail.com</w:t>
      </w:r>
    </w:p>
    <w:p>
      <w:pPr>
        <w:pStyle w:val="Heading1"/>
      </w:pPr>
      <w:r>
        <w:t xml:space="preserve">1. What HPI-CT Is (in one page)</w:t>
      </w:r>
    </w:p>
    <w:p>
      <w:pPr>
        <w:spacing w:after="150" w:line="276"/>
      </w:pPr>
      <w:r>
        <w:rPr>
          <w:sz w:val="22"/>
          <w:szCs w:val="22"/>
        </w:rPr>
        <w:t xml:space="preserve">HPI-CT is a free internal-control toolkit for preventing healthcare fraud, waste, and abuse. It is built the opposite way from most guidance: instead of restating principles, it works backward from 1,494 coded federal enforcement cases (~$36B in alleged billings) to the specific control whose absence let each scheme succeed — then hands you that control as something you can implement: with a trigger, an owner, a system touchpoint, an evidence artifact, a frequency, the failure mode it prevents, and the regulation that requires it.</w:t>
      </w:r>
    </w:p>
    <w:p>
      <w:pPr>
        <w:spacing w:after="150" w:line="276"/>
      </w:pPr>
      <w:r>
        <w:rPr>
          <w:sz w:val="22"/>
          <w:szCs w:val="22"/>
        </w:rPr>
        <w:t xml:space="preserve">It covers the whole operational cycle — not just claims. Every control maps to one of eight lifecycle stages: (1) governance &amp; control design, (2) beneficiary/member eligibility, (3) provider enrollment &amp; screening, (4) service authorization &amp; medical necessity, (5) service delivery &amp; documentation, (6) claim adjudication &amp; payment, (7) monitoring &amp; post-payment review, (8) corrective action — with a feedback loop from stage 8 back to stage 1. Payment is one stage of eight; most schemes are defeated more cheaply upstream.</w:t>
      </w:r>
    </w:p>
    <w:p>
      <w:pPr>
        <w:spacing w:after="150" w:line="276"/>
      </w:pPr>
      <w:r>
        <w:rPr>
          <w:sz w:val="22"/>
          <w:szCs w:val="22"/>
        </w:rPr>
        <w:t xml:space="preserve">It deploys as an overlay. Everything is self-contained Excel workbooks plus one HTML file that opens in any browser. No server, no database, no license, no integration with claims or EHR systems, no PHI. You adopt the controls and the assessment discipline, not a new system.</w:t>
      </w:r>
    </w:p>
    <w:p>
      <w:pPr>
        <w:pBdr>
          <w:left w:val="single" w:color="2E5496" w:sz="12" w:space="8"/>
        </w:pBdr>
        <w:spacing w:after="160" w:line="276"/>
        <w:ind w:left="360"/>
      </w:pPr>
      <w:r>
        <w:rPr>
          <w:i/>
          <w:iCs/>
          <w:sz w:val="20"/>
          <w:szCs w:val="20"/>
        </w:rPr>
        <w:t xml:space="preserve">Who it's for: compliance officers, program-integrity and SIU teams, internal auditors, and finance leaders at payers, provider organizations, DMEPOS suppliers, TPAs, self-funded plan sponsors, and state/local program-integrity units. It complements detection analytics; it does not score claims.</w:t>
      </w:r>
    </w:p>
    <w:p>
      <w:pPr>
        <w:pStyle w:val="Heading1"/>
      </w:pPr>
      <w:r>
        <w:t xml:space="preserve">2. What's in the Box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0"/>
        <w:gridCol w:w="4310"/>
        <w:gridCol w:w="1500"/>
      </w:tblGrid>
      <w:tr>
        <w:trPr>
          <w:tblHeader/>
        </w:trPr>
        <w:tc>
          <w:tcPr>
            <w:tcW w:type="dxa" w:w="355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19"/>
                <w:szCs w:val="19"/>
              </w:rPr>
              <w:t xml:space="preserve">Artifact (03_Toolkit unless noted)</w:t>
            </w:r>
          </w:p>
        </w:tc>
        <w:tc>
          <w:tcPr>
            <w:tcW w:type="dxa" w:w="431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19"/>
                <w:szCs w:val="19"/>
              </w:rPr>
              <w:t xml:space="preserve">What it does</w:t>
            </w:r>
          </w:p>
        </w:tc>
        <w:tc>
          <w:tcPr>
            <w:tcW w:type="dxa" w:w="15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19"/>
                <w:szCs w:val="19"/>
              </w:rPr>
              <w:t xml:space="preserve">Start here?</w:t>
            </w:r>
          </w:p>
        </w:tc>
      </w:tr>
      <w:tr>
        <w:tc>
          <w:tcPr>
            <w:tcW w:type="dxa" w:w="355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color w:val="000000"/>
                <w:sz w:val="19"/>
                <w:szCs w:val="19"/>
              </w:rPr>
              <w:t xml:space="preserve">7 Module workbooks (Modules/)</w:t>
            </w:r>
          </w:p>
        </w:tc>
        <w:tc>
          <w:tcPr>
            <w:tcW w:type="dxa" w:w="431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color w:val="000000"/>
                <w:sz w:val="19"/>
                <w:szCs w:val="19"/>
              </w:rPr>
              <w:t xml:space="preserve">One per domain: Provider Enrollment · Program Integrity · Coding &amp; Billing · Prior Authorization · Coverage &amp; Documentation · Managed Care C/D · Medicaid &amp; CHIP. Each contains the six-sheet workflow in Section 3.</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color w:val="000000"/>
                <w:sz w:val="19"/>
                <w:szCs w:val="19"/>
              </w:rPr>
              <w:t xml:space="preserve">YES</w:t>
            </w:r>
          </w:p>
        </w:tc>
      </w:tr>
      <w:tr>
        <w:tc>
          <w:tcPr>
            <w:tcW w:type="dxa" w:w="3550"/>
            <w:tcBorders>
              <w:top w:val="single" w:color="BFBFBF" w:sz="1"/>
              <w:left w:val="single" w:color="BFBFBF" w:sz="1"/>
              <w:bottom w:val="single" w:color="BFBFBF" w:sz="1"/>
              <w:right w:val="single" w:color="BFBFBF" w:sz="1"/>
            </w:tcBorders>
            <w:shd w:fill="EDF2F9" w:val="clear"/>
            <w:tcMar>
              <w:top w:type="dxa" w:w="60"/>
              <w:left w:type="dxa" w:w="100"/>
              <w:bottom w:type="dxa" w:w="60"/>
              <w:right w:type="dxa" w:w="100"/>
            </w:tcMar>
          </w:tcPr>
          <w:p>
            <w:r>
              <w:rPr>
                <w:b w:val="false"/>
                <w:bCs w:val="false"/>
                <w:color w:val="000000"/>
                <w:sz w:val="19"/>
                <w:szCs w:val="19"/>
              </w:rPr>
              <w:t xml:space="preserve">First 15 Controls Quick-Start</w:t>
            </w:r>
          </w:p>
        </w:tc>
        <w:tc>
          <w:tcPr>
            <w:tcW w:type="dxa" w:w="4310"/>
            <w:tcBorders>
              <w:top w:val="single" w:color="BFBFBF" w:sz="1"/>
              <w:left w:val="single" w:color="BFBFBF" w:sz="1"/>
              <w:bottom w:val="single" w:color="BFBFBF" w:sz="1"/>
              <w:right w:val="single" w:color="BFBFBF" w:sz="1"/>
            </w:tcBorders>
            <w:shd w:fill="EDF2F9" w:val="clear"/>
            <w:tcMar>
              <w:top w:type="dxa" w:w="60"/>
              <w:left w:type="dxa" w:w="100"/>
              <w:bottom w:type="dxa" w:w="60"/>
              <w:right w:type="dxa" w:w="100"/>
            </w:tcMar>
          </w:tcPr>
          <w:p>
            <w:r>
              <w:rPr>
                <w:b w:val="false"/>
                <w:bCs w:val="false"/>
                <w:color w:val="000000"/>
                <w:sz w:val="19"/>
                <w:szCs w:val="19"/>
              </w:rPr>
              <w:t xml:space="preserve">One page: the 15 highest-evidence, cheapest controls. The fastest possible start.</w:t>
            </w:r>
          </w:p>
        </w:tc>
        <w:tc>
          <w:tcPr>
            <w:tcW w:type="dxa" w:w="1500"/>
            <w:tcBorders>
              <w:top w:val="single" w:color="BFBFBF" w:sz="1"/>
              <w:left w:val="single" w:color="BFBFBF" w:sz="1"/>
              <w:bottom w:val="single" w:color="BFBFBF" w:sz="1"/>
              <w:right w:val="single" w:color="BFBFBF" w:sz="1"/>
            </w:tcBorders>
            <w:shd w:fill="EDF2F9" w:val="clear"/>
            <w:tcMar>
              <w:top w:type="dxa" w:w="60"/>
              <w:left w:type="dxa" w:w="100"/>
              <w:bottom w:type="dxa" w:w="60"/>
              <w:right w:type="dxa" w:w="100"/>
            </w:tcMar>
          </w:tcPr>
          <w:p>
            <w:r>
              <w:rPr>
                <w:b w:val="false"/>
                <w:bCs w:val="false"/>
                <w:color w:val="000000"/>
                <w:sz w:val="19"/>
                <w:szCs w:val="19"/>
              </w:rPr>
              <w:t xml:space="preserve">YES</w:t>
            </w:r>
          </w:p>
        </w:tc>
      </w:tr>
      <w:tr>
        <w:tc>
          <w:tcPr>
            <w:tcW w:type="dxa" w:w="355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color w:val="000000"/>
                <w:sz w:val="19"/>
                <w:szCs w:val="19"/>
              </w:rPr>
              <w:t xml:space="preserve">Integrated Controls Crosswalk</w:t>
            </w:r>
          </w:p>
        </w:tc>
        <w:tc>
          <w:tcPr>
            <w:tcW w:type="dxa" w:w="431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color w:val="000000"/>
                <w:sz w:val="19"/>
                <w:szCs w:val="19"/>
              </w:rPr>
              <w:t xml:space="preserve">All 160 controls in one master sheet: module, type, stage, Green Book principle, regulation, open GAO/OIG recommendation, analytics technique, applicability.</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color w:val="000000"/>
                <w:sz w:val="19"/>
                <w:szCs w:val="19"/>
              </w:rPr>
              <w:t xml:space="preserve">Reference</w:t>
            </w:r>
          </w:p>
        </w:tc>
      </w:tr>
      <w:tr>
        <w:tc>
          <w:tcPr>
            <w:tcW w:type="dxa" w:w="3550"/>
            <w:tcBorders>
              <w:top w:val="single" w:color="BFBFBF" w:sz="1"/>
              <w:left w:val="single" w:color="BFBFBF" w:sz="1"/>
              <w:bottom w:val="single" w:color="BFBFBF" w:sz="1"/>
              <w:right w:val="single" w:color="BFBFBF" w:sz="1"/>
            </w:tcBorders>
            <w:shd w:fill="EDF2F9" w:val="clear"/>
            <w:tcMar>
              <w:top w:type="dxa" w:w="60"/>
              <w:left w:type="dxa" w:w="100"/>
              <w:bottom w:type="dxa" w:w="60"/>
              <w:right w:type="dxa" w:w="100"/>
            </w:tcMar>
          </w:tcPr>
          <w:p>
            <w:r>
              <w:rPr>
                <w:b w:val="false"/>
                <w:bCs w:val="false"/>
                <w:color w:val="000000"/>
                <w:sz w:val="19"/>
                <w:szCs w:val="19"/>
              </w:rPr>
              <w:t xml:space="preserve">Unified Toolkit (HTML, Dashboards/)</w:t>
            </w:r>
          </w:p>
        </w:tc>
        <w:tc>
          <w:tcPr>
            <w:tcW w:type="dxa" w:w="4310"/>
            <w:tcBorders>
              <w:top w:val="single" w:color="BFBFBF" w:sz="1"/>
              <w:left w:val="single" w:color="BFBFBF" w:sz="1"/>
              <w:bottom w:val="single" w:color="BFBFBF" w:sz="1"/>
              <w:right w:val="single" w:color="BFBFBF" w:sz="1"/>
            </w:tcBorders>
            <w:shd w:fill="EDF2F9" w:val="clear"/>
            <w:tcMar>
              <w:top w:type="dxa" w:w="60"/>
              <w:left w:type="dxa" w:w="100"/>
              <w:bottom w:type="dxa" w:w="60"/>
              <w:right w:type="dxa" w:w="100"/>
            </w:tcMar>
          </w:tcPr>
          <w:p>
            <w:r>
              <w:rPr>
                <w:b w:val="false"/>
                <w:bCs w:val="false"/>
                <w:color w:val="000000"/>
                <w:sz w:val="19"/>
                <w:szCs w:val="19"/>
              </w:rPr>
              <w:t xml:space="preserve">Interactive view: filter applicable controls by your entity profile; charts; assessment workflow demo.</w:t>
            </w:r>
          </w:p>
        </w:tc>
        <w:tc>
          <w:tcPr>
            <w:tcW w:type="dxa" w:w="1500"/>
            <w:tcBorders>
              <w:top w:val="single" w:color="BFBFBF" w:sz="1"/>
              <w:left w:val="single" w:color="BFBFBF" w:sz="1"/>
              <w:bottom w:val="single" w:color="BFBFBF" w:sz="1"/>
              <w:right w:val="single" w:color="BFBFBF" w:sz="1"/>
            </w:tcBorders>
            <w:shd w:fill="EDF2F9" w:val="clear"/>
            <w:tcMar>
              <w:top w:type="dxa" w:w="60"/>
              <w:left w:type="dxa" w:w="100"/>
              <w:bottom w:type="dxa" w:w="60"/>
              <w:right w:type="dxa" w:w="100"/>
            </w:tcMar>
          </w:tcPr>
          <w:p>
            <w:r>
              <w:rPr>
                <w:b w:val="false"/>
                <w:bCs w:val="false"/>
                <w:color w:val="000000"/>
                <w:sz w:val="19"/>
                <w:szCs w:val="19"/>
              </w:rPr>
              <w:t xml:space="preserve">Demo/browse</w:t>
            </w:r>
          </w:p>
        </w:tc>
      </w:tr>
      <w:tr>
        <w:tc>
          <w:tcPr>
            <w:tcW w:type="dxa" w:w="355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color w:val="000000"/>
                <w:sz w:val="19"/>
                <w:szCs w:val="19"/>
              </w:rPr>
              <w:t xml:space="preserve">Control-Failure Diagnosis Matrix</w:t>
            </w:r>
          </w:p>
        </w:tc>
        <w:tc>
          <w:tcPr>
            <w:tcW w:type="dxa" w:w="431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color w:val="000000"/>
                <w:sz w:val="19"/>
                <w:szCs w:val="19"/>
              </w:rPr>
              <w:t xml:space="preserve">20 detection-flag families → the broken control → the fix. Use alongside your SIU/analytics output.</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color w:val="000000"/>
                <w:sz w:val="19"/>
                <w:szCs w:val="19"/>
              </w:rPr>
              <w:t xml:space="preserve">With SIU</w:t>
            </w:r>
          </w:p>
        </w:tc>
      </w:tr>
      <w:tr>
        <w:tc>
          <w:tcPr>
            <w:tcW w:type="dxa" w:w="3550"/>
            <w:tcBorders>
              <w:top w:val="single" w:color="BFBFBF" w:sz="1"/>
              <w:left w:val="single" w:color="BFBFBF" w:sz="1"/>
              <w:bottom w:val="single" w:color="BFBFBF" w:sz="1"/>
              <w:right w:val="single" w:color="BFBFBF" w:sz="1"/>
            </w:tcBorders>
            <w:shd w:fill="EDF2F9" w:val="clear"/>
            <w:tcMar>
              <w:top w:type="dxa" w:w="60"/>
              <w:left w:type="dxa" w:w="100"/>
              <w:bottom w:type="dxa" w:w="60"/>
              <w:right w:type="dxa" w:w="100"/>
            </w:tcMar>
          </w:tcPr>
          <w:p>
            <w:r>
              <w:rPr>
                <w:b w:val="false"/>
                <w:bCs w:val="false"/>
                <w:color w:val="000000"/>
                <w:sz w:val="19"/>
                <w:szCs w:val="19"/>
              </w:rPr>
              <w:t xml:space="preserve">Green Book 2025 Crosswalk (02_Framework)</w:t>
            </w:r>
          </w:p>
        </w:tc>
        <w:tc>
          <w:tcPr>
            <w:tcW w:type="dxa" w:w="4310"/>
            <w:tcBorders>
              <w:top w:val="single" w:color="BFBFBF" w:sz="1"/>
              <w:left w:val="single" w:color="BFBFBF" w:sz="1"/>
              <w:bottom w:val="single" w:color="BFBFBF" w:sz="1"/>
              <w:right w:val="single" w:color="BFBFBF" w:sz="1"/>
            </w:tcBorders>
            <w:shd w:fill="EDF2F9" w:val="clear"/>
            <w:tcMar>
              <w:top w:type="dxa" w:w="60"/>
              <w:left w:type="dxa" w:w="100"/>
              <w:bottom w:type="dxa" w:w="60"/>
              <w:right w:type="dxa" w:w="100"/>
            </w:tcMar>
          </w:tcPr>
          <w:p>
            <w:r>
              <w:rPr>
                <w:b w:val="false"/>
                <w:bCs w:val="false"/>
                <w:color w:val="000000"/>
                <w:sz w:val="19"/>
                <w:szCs w:val="19"/>
              </w:rPr>
              <w:t xml:space="preserve">Framework layer: lifecycle, GB principles, SMART controls, risk model.</w:t>
            </w:r>
          </w:p>
        </w:tc>
        <w:tc>
          <w:tcPr>
            <w:tcW w:type="dxa" w:w="1500"/>
            <w:tcBorders>
              <w:top w:val="single" w:color="BFBFBF" w:sz="1"/>
              <w:left w:val="single" w:color="BFBFBF" w:sz="1"/>
              <w:bottom w:val="single" w:color="BFBFBF" w:sz="1"/>
              <w:right w:val="single" w:color="BFBFBF" w:sz="1"/>
            </w:tcBorders>
            <w:shd w:fill="EDF2F9" w:val="clear"/>
            <w:tcMar>
              <w:top w:type="dxa" w:w="60"/>
              <w:left w:type="dxa" w:w="100"/>
              <w:bottom w:type="dxa" w:w="60"/>
              <w:right w:type="dxa" w:w="100"/>
            </w:tcMar>
          </w:tcPr>
          <w:p>
            <w:r>
              <w:rPr>
                <w:b w:val="false"/>
                <w:bCs w:val="false"/>
                <w:color w:val="000000"/>
                <w:sz w:val="19"/>
                <w:szCs w:val="19"/>
              </w:rPr>
              <w:t xml:space="preserve">Reference</w:t>
            </w:r>
          </w:p>
        </w:tc>
      </w:tr>
      <w:tr>
        <w:tc>
          <w:tcPr>
            <w:tcW w:type="dxa" w:w="355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color w:val="000000"/>
                <w:sz w:val="19"/>
                <w:szCs w:val="19"/>
              </w:rPr>
              <w:t xml:space="preserve">Distilled Guides + Data Dictionary (01_Foundation)</w:t>
            </w:r>
          </w:p>
        </w:tc>
        <w:tc>
          <w:tcPr>
            <w:tcW w:type="dxa" w:w="431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color w:val="000000"/>
                <w:sz w:val="19"/>
                <w:szCs w:val="19"/>
              </w:rPr>
              <w:t xml:space="preserve">Plain-language maps of the CMS regulatory universe behind the controls (NCCI, PA lists, NCD/LCD, PIM, 42 CFR 455/456...).</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color w:val="000000"/>
                <w:sz w:val="19"/>
                <w:szCs w:val="19"/>
              </w:rPr>
              <w:t xml:space="preserve">Reference</w:t>
            </w:r>
          </w:p>
        </w:tc>
      </w:tr>
      <w:tr>
        <w:tc>
          <w:tcPr>
            <w:tcW w:type="dxa" w:w="3550"/>
            <w:tcBorders>
              <w:top w:val="single" w:color="BFBFBF" w:sz="1"/>
              <w:left w:val="single" w:color="BFBFBF" w:sz="1"/>
              <w:bottom w:val="single" w:color="BFBFBF" w:sz="1"/>
              <w:right w:val="single" w:color="BFBFBF" w:sz="1"/>
            </w:tcBorders>
            <w:shd w:fill="EDF2F9" w:val="clear"/>
            <w:tcMar>
              <w:top w:type="dxa" w:w="60"/>
              <w:left w:type="dxa" w:w="100"/>
              <w:bottom w:type="dxa" w:w="60"/>
              <w:right w:type="dxa" w:w="100"/>
            </w:tcMar>
          </w:tcPr>
          <w:p>
            <w:r>
              <w:rPr>
                <w:b w:val="false"/>
                <w:bCs w:val="false"/>
                <w:color w:val="000000"/>
                <w:sz w:val="19"/>
                <w:szCs w:val="19"/>
              </w:rPr>
              <w:t xml:space="preserve">FWA Case Base (04_Evidence)</w:t>
            </w:r>
          </w:p>
        </w:tc>
        <w:tc>
          <w:tcPr>
            <w:tcW w:type="dxa" w:w="4310"/>
            <w:tcBorders>
              <w:top w:val="single" w:color="BFBFBF" w:sz="1"/>
              <w:left w:val="single" w:color="BFBFBF" w:sz="1"/>
              <w:bottom w:val="single" w:color="BFBFBF" w:sz="1"/>
              <w:right w:val="single" w:color="BFBFBF" w:sz="1"/>
            </w:tcBorders>
            <w:shd w:fill="EDF2F9" w:val="clear"/>
            <w:tcMar>
              <w:top w:type="dxa" w:w="60"/>
              <w:left w:type="dxa" w:w="100"/>
              <w:bottom w:type="dxa" w:w="60"/>
              <w:right w:type="dxa" w:w="100"/>
            </w:tcMar>
          </w:tcPr>
          <w:p>
            <w:r>
              <w:rPr>
                <w:b w:val="false"/>
                <w:bCs w:val="false"/>
                <w:color w:val="000000"/>
                <w:sz w:val="19"/>
                <w:szCs w:val="19"/>
              </w:rPr>
              <w:t xml:space="preserve">The evidence engine: 1,494 coded DOJ cases, oversight findings, court cases, control-failure learnings.</w:t>
            </w:r>
          </w:p>
        </w:tc>
        <w:tc>
          <w:tcPr>
            <w:tcW w:type="dxa" w:w="1500"/>
            <w:tcBorders>
              <w:top w:val="single" w:color="BFBFBF" w:sz="1"/>
              <w:left w:val="single" w:color="BFBFBF" w:sz="1"/>
              <w:bottom w:val="single" w:color="BFBFBF" w:sz="1"/>
              <w:right w:val="single" w:color="BFBFBF" w:sz="1"/>
            </w:tcBorders>
            <w:shd w:fill="EDF2F9" w:val="clear"/>
            <w:tcMar>
              <w:top w:type="dxa" w:w="60"/>
              <w:left w:type="dxa" w:w="100"/>
              <w:bottom w:type="dxa" w:w="60"/>
              <w:right w:type="dxa" w:w="100"/>
            </w:tcMar>
          </w:tcPr>
          <w:p>
            <w:r>
              <w:rPr>
                <w:b w:val="false"/>
                <w:bCs w:val="false"/>
                <w:color w:val="000000"/>
                <w:sz w:val="19"/>
                <w:szCs w:val="19"/>
              </w:rPr>
              <w:t xml:space="preserve">Research</w:t>
            </w:r>
          </w:p>
        </w:tc>
      </w:tr>
    </w:tbl>
    <w:p>
      <w:pPr>
        <w:pStyle w:val="Heading1"/>
      </w:pPr>
      <w:r>
        <w:t xml:space="preserve">3. How It Works: The Operating Model</w:t>
      </w:r>
    </w:p>
    <w:p>
      <w:pPr>
        <w:pStyle w:val="Heading2"/>
      </w:pPr>
      <w:r>
        <w:t xml:space="preserve">3.1 The evidence pipeline (why you can trust the controls)</w:t>
      </w:r>
    </w:p>
    <w:p>
      <w:pPr>
        <w:spacing w:after="150" w:line="276"/>
      </w:pPr>
      <w:r>
        <w:rPr>
          <w:sz w:val="22"/>
          <w:szCs w:val="22"/>
        </w:rPr>
        <w:t xml:space="preserve">A daily automated pipeline harvests DOJ enforcement actions, OIG/GAO oversight findings, and court cases; codes each case under a versioned rulebook to the control failure it exploited (a full-dataset audit found 90.6% coding consistency); rolls the results into Control-Failure Learnings; and those learnings drive which controls exist and how they're prioritized. Monthly monitors watch the source regulations (NCCI, HCPCS, ICD-10, Green Book, OIG Work Plan...) so the toolkit doesn't go stale. Every control cites its source; 23 controls answer open GAO/OIG recommendations.</w:t>
      </w:r>
    </w:p>
    <w:p>
      <w:pPr>
        <w:pStyle w:val="Heading2"/>
      </w:pPr>
      <w:r>
        <w:t xml:space="preserve">3.2 The module workflow (the part you actually run)</w:t>
      </w:r>
    </w:p>
    <w:p>
      <w:pPr>
        <w:spacing w:after="150" w:line="276"/>
      </w:pPr>
      <w:r>
        <w:rPr>
          <w:sz w:val="22"/>
          <w:szCs w:val="22"/>
        </w:rPr>
        <w:t xml:space="preserve">Every module workbook runs the same six-sheet sequence:</w:t>
      </w:r>
    </w:p>
    <w:p>
      <w:pPr>
        <w:pStyle w:val="ListParagraph"/>
        <w:numPr>
          <w:ilvl w:val="0"/>
          <w:numId w:val="2"/>
        </w:numPr>
        <w:spacing w:after="110" w:line="276"/>
      </w:pPr>
      <w:r>
        <w:rPr>
          <w:b/>
          <w:bCs/>
          <w:sz w:val="22"/>
          <w:szCs w:val="22"/>
        </w:rPr>
        <w:t xml:space="preserve">README — </w:t>
      </w:r>
      <w:r>
        <w:rPr>
          <w:sz w:val="22"/>
          <w:szCs w:val="22"/>
        </w:rPr>
        <w:t xml:space="preserve">the domain, its regulatory anchors, and instructions.</w:t>
      </w:r>
    </w:p>
    <w:p>
      <w:pPr>
        <w:pStyle w:val="ListParagraph"/>
        <w:numPr>
          <w:ilvl w:val="0"/>
          <w:numId w:val="2"/>
        </w:numPr>
        <w:spacing w:after="110" w:line="276"/>
      </w:pPr>
      <w:r>
        <w:rPr>
          <w:b/>
          <w:bCs/>
          <w:sz w:val="22"/>
          <w:szCs w:val="22"/>
        </w:rPr>
        <w:t xml:space="preserve">Entity Profile — </w:t>
      </w:r>
      <w:r>
        <w:rPr>
          <w:sz w:val="22"/>
          <w:szCs w:val="22"/>
        </w:rPr>
        <w:t xml:space="preserve">~6 questions about you (entity type, risk tier, DMEPOS yes/no, programs). Your answers drive everything downstream: controls that don't apply to you are automatically marked '— n/a'.</w:t>
      </w:r>
    </w:p>
    <w:p>
      <w:pPr>
        <w:pStyle w:val="ListParagraph"/>
        <w:numPr>
          <w:ilvl w:val="0"/>
          <w:numId w:val="2"/>
        </w:numPr>
        <w:spacing w:after="110" w:line="276"/>
      </w:pPr>
      <w:r>
        <w:rPr>
          <w:b/>
          <w:bCs/>
          <w:sz w:val="22"/>
          <w:szCs w:val="22"/>
        </w:rPr>
        <w:t xml:space="preserve">Assessment — </w:t>
      </w:r>
      <w:r>
        <w:rPr>
          <w:sz w:val="22"/>
          <w:szCs w:val="22"/>
        </w:rPr>
        <w:t xml:space="preserve">a 0–3 scored questionnaire. Every question cites the specific regulation or best practice it tests, so you know WHY it's being asked. 0 = absent, 1 = ad hoc, 2 = defined, 3 = operating &amp; evidenced.</w:t>
      </w:r>
    </w:p>
    <w:p>
      <w:pPr>
        <w:pStyle w:val="ListParagraph"/>
        <w:numPr>
          <w:ilvl w:val="0"/>
          <w:numId w:val="2"/>
        </w:numPr>
        <w:spacing w:after="110" w:line="276"/>
      </w:pPr>
      <w:r>
        <w:rPr>
          <w:b/>
          <w:bCs/>
          <w:sz w:val="22"/>
          <w:szCs w:val="22"/>
        </w:rPr>
        <w:t xml:space="preserve">Maturity Score — </w:t>
      </w:r>
      <w:r>
        <w:rPr>
          <w:sz w:val="22"/>
          <w:szCs w:val="22"/>
        </w:rPr>
        <w:t xml:space="preserve">auto-computed from your assessment: a percentage and a level (1 Initial → 5 Optimized). This is your baseline — not a benchmark, a starting point.</w:t>
      </w:r>
    </w:p>
    <w:p>
      <w:pPr>
        <w:pStyle w:val="ListParagraph"/>
        <w:numPr>
          <w:ilvl w:val="0"/>
          <w:numId w:val="2"/>
        </w:numPr>
        <w:spacing w:after="110" w:line="276"/>
      </w:pPr>
      <w:r>
        <w:rPr>
          <w:b/>
          <w:bCs/>
          <w:sz w:val="22"/>
          <w:szCs w:val="22"/>
        </w:rPr>
        <w:t xml:space="preserve">Controls Library — </w:t>
      </w:r>
      <w:r>
        <w:rPr>
          <w:sz w:val="22"/>
          <w:szCs w:val="22"/>
        </w:rPr>
        <w:t xml:space="preserve">the domain's controls (19–22 each; 140 total), each fully specified: trigger · owner · system touchpoint · evidence artifact · frequency · failure mode prevented · analytics flag · 'Applies to you?' (live formula from your Entity Profile). Your gaps = applicable controls your assessment scored 0–1.</w:t>
      </w:r>
    </w:p>
    <w:p>
      <w:pPr>
        <w:pStyle w:val="ListParagraph"/>
        <w:numPr>
          <w:ilvl w:val="0"/>
          <w:numId w:val="2"/>
        </w:numPr>
        <w:spacing w:after="110" w:line="276"/>
      </w:pPr>
      <w:r>
        <w:rPr>
          <w:b/>
          <w:bCs/>
          <w:sz w:val="22"/>
          <w:szCs w:val="22"/>
        </w:rPr>
        <w:t xml:space="preserve">Research Base — </w:t>
      </w:r>
      <w:r>
        <w:rPr>
          <w:sz w:val="22"/>
          <w:szCs w:val="22"/>
        </w:rPr>
        <w:t xml:space="preserve">every control traced to its official source with a link. Nothing is asserted without a citation.</w:t>
      </w:r>
    </w:p>
    <w:p>
      <w:pPr>
        <w:pStyle w:val="Heading2"/>
      </w:pPr>
      <w:r>
        <w:t xml:space="preserve">3.3 The anatomy of one control (what 'specific' means here)</w:t>
      </w:r>
    </w:p>
    <w:p>
      <w:pPr>
        <w:pBdr>
          <w:left w:val="single" w:color="2E5496" w:sz="12" w:space="8"/>
        </w:pBdr>
        <w:spacing w:after="160" w:line="276"/>
        <w:ind w:left="360"/>
      </w:pPr>
      <w:r>
        <w:rPr>
          <w:i/>
          <w:iCs/>
          <w:sz w:val="20"/>
          <w:szCs w:val="20"/>
        </w:rPr>
        <w:t xml:space="preserve">Example — PE-11, Unannounced site visits: Trigger: risk tier ≥ Moderate · Owner: site-visit contractor · System: site-visit system · Evidence artifact: site-visit report + photos · Frequency: per application + cyclic · Failure mode prevented: phantom/virtual storefront suppliers · Basis: 42 CFR 424 screening levels. If a control in this toolkit ever reads like 'management should ensure...', report it as a defect — 139 of 140 currently pass this specificity bar.</w:t>
      </w:r>
    </w:p>
    <w:p>
      <w:pPr>
        <w:pStyle w:val="Heading2"/>
      </w:pPr>
      <w:r>
        <w:t xml:space="preserve">3.4 Where the dashboards fit</w:t>
      </w:r>
    </w:p>
    <w:p>
      <w:pPr>
        <w:spacing w:after="150" w:line="276"/>
      </w:pPr>
      <w:r>
        <w:rPr>
          <w:sz w:val="22"/>
          <w:szCs w:val="22"/>
        </w:rPr>
        <w:t xml:space="preserve">The HTML Unified Toolkit is the browse-and-demo layer: set your entity profile once and see the applicable controls across all seven modules, with counts and charts. Important: its Controls tab runs on the real 160 controls library, while the Assessment, Recommendations, and Monitoring tabs run on labeled illustrative sample data that demonstrates the assess→recommend→monitor workflow. Real assessments happen in the module workbooks; the maturity scores on screen are demos, not benchmarks.</w:t>
      </w:r>
    </w:p>
    <w:p>
      <w:pPr>
        <w:pStyle w:val="Heading1"/>
      </w:pPr>
      <w:r>
        <w:t xml:space="preserve">4. Getting Started: Your First 90 Minutes</w:t>
      </w:r>
    </w:p>
    <w:p>
      <w:pPr>
        <w:pStyle w:val="ListParagraph"/>
        <w:numPr>
          <w:ilvl w:val="0"/>
          <w:numId w:val="2"/>
        </w:numPr>
        <w:spacing w:after="110" w:line="276"/>
      </w:pPr>
      <w:r>
        <w:rPr>
          <w:b/>
          <w:bCs/>
          <w:sz w:val="22"/>
          <w:szCs w:val="22"/>
        </w:rPr>
        <w:t xml:space="preserve">Pick ONE module — </w:t>
      </w:r>
      <w:r>
        <w:rPr>
          <w:sz w:val="22"/>
          <w:szCs w:val="22"/>
        </w:rPr>
        <w:t xml:space="preserve">your highest-risk domain. A DMEPOS-exposed payer starts with 04 Prior Authorization; a state PI unit with 07 Medicaid &amp; CHIP; most provider groups with 01 Provider Enrollment.</w:t>
      </w:r>
    </w:p>
    <w:p>
      <w:pPr>
        <w:pStyle w:val="ListParagraph"/>
        <w:numPr>
          <w:ilvl w:val="0"/>
          <w:numId w:val="2"/>
        </w:numPr>
        <w:spacing w:after="110" w:line="276"/>
      </w:pPr>
      <w:r>
        <w:rPr>
          <w:b/>
          <w:bCs/>
          <w:sz w:val="22"/>
          <w:szCs w:val="22"/>
        </w:rPr>
        <w:t xml:space="preserve">Complete the Entity Profile — </w:t>
      </w:r>
      <w:r>
        <w:rPr>
          <w:sz w:val="22"/>
          <w:szCs w:val="22"/>
        </w:rPr>
        <w:t xml:space="preserve">5 minutes; it filters everything else.</w:t>
      </w:r>
    </w:p>
    <w:p>
      <w:pPr>
        <w:pStyle w:val="ListParagraph"/>
        <w:numPr>
          <w:ilvl w:val="0"/>
          <w:numId w:val="2"/>
        </w:numPr>
        <w:spacing w:after="110" w:line="276"/>
      </w:pPr>
      <w:r>
        <w:rPr>
          <w:b/>
          <w:bCs/>
          <w:sz w:val="22"/>
          <w:szCs w:val="22"/>
        </w:rPr>
        <w:t xml:space="preserve">Run the Assessment honestly — </w:t>
      </w:r>
      <w:r>
        <w:rPr>
          <w:sz w:val="22"/>
          <w:szCs w:val="22"/>
        </w:rPr>
        <w:t xml:space="preserve">30–45 minutes with the right people in the room (compliance + the process owner). Score 0–3; when in doubt, score lower — flattering scores only defraud yourself.</w:t>
      </w:r>
    </w:p>
    <w:p>
      <w:pPr>
        <w:pStyle w:val="ListParagraph"/>
        <w:numPr>
          <w:ilvl w:val="0"/>
          <w:numId w:val="2"/>
        </w:numPr>
        <w:spacing w:after="110" w:line="276"/>
      </w:pPr>
      <w:r>
        <w:rPr>
          <w:b/>
          <w:bCs/>
          <w:sz w:val="22"/>
          <w:szCs w:val="22"/>
        </w:rPr>
        <w:t xml:space="preserve">Read your Maturity Score — </w:t>
      </w:r>
      <w:r>
        <w:rPr>
          <w:sz w:val="22"/>
          <w:szCs w:val="22"/>
        </w:rPr>
        <w:t xml:space="preserve">and resist the urge to explain it. It's a baseline.</w:t>
      </w:r>
    </w:p>
    <w:p>
      <w:pPr>
        <w:pStyle w:val="ListParagraph"/>
        <w:numPr>
          <w:ilvl w:val="0"/>
          <w:numId w:val="2"/>
        </w:numPr>
        <w:spacing w:after="110" w:line="276"/>
      </w:pPr>
      <w:r>
        <w:rPr>
          <w:b/>
          <w:bCs/>
          <w:sz w:val="22"/>
          <w:szCs w:val="22"/>
        </w:rPr>
        <w:t xml:space="preserve">Open the Controls Library — </w:t>
      </w:r>
      <w:r>
        <w:rPr>
          <w:sz w:val="22"/>
          <w:szCs w:val="22"/>
        </w:rPr>
        <w:t xml:space="preserve">filter to '► APPLIES', sort to the ones you scored 0–1. That list, ranked by the failure-mode column, is your gap list.</w:t>
      </w:r>
    </w:p>
    <w:p>
      <w:pPr>
        <w:pStyle w:val="ListParagraph"/>
        <w:numPr>
          <w:ilvl w:val="0"/>
          <w:numId w:val="2"/>
        </w:numPr>
        <w:spacing w:after="110" w:line="276"/>
      </w:pPr>
      <w:r>
        <w:rPr>
          <w:b/>
          <w:bCs/>
          <w:sz w:val="22"/>
          <w:szCs w:val="22"/>
        </w:rPr>
        <w:t xml:space="preserve">Cross-check the First 15 — </w:t>
      </w:r>
      <w:r>
        <w:rPr>
          <w:sz w:val="22"/>
          <w:szCs w:val="22"/>
        </w:rPr>
        <w:t xml:space="preserve">any overlap between your gap list and the First 15 Quick-Start is your starting backlog: highest enforcement evidence, cheapest implementation.</w:t>
      </w:r>
    </w:p>
    <w:p>
      <w:pPr>
        <w:pStyle w:val="ListParagraph"/>
        <w:numPr>
          <w:ilvl w:val="0"/>
          <w:numId w:val="2"/>
        </w:numPr>
        <w:spacing w:after="110" w:line="276"/>
      </w:pPr>
      <w:r>
        <w:rPr>
          <w:b/>
          <w:bCs/>
          <w:sz w:val="22"/>
          <w:szCs w:val="22"/>
        </w:rPr>
        <w:t xml:space="preserve">Assign each chosen control an owner and a date — </w:t>
      </w:r>
      <w:r>
        <w:rPr>
          <w:sz w:val="22"/>
          <w:szCs w:val="22"/>
        </w:rPr>
        <w:t xml:space="preserve">the control's own Trigger/Owner/Evidence fields are the implementation spec. A control without an owner is a wish.</w:t>
      </w:r>
    </w:p>
    <w:p>
      <w:pPr>
        <w:pStyle w:val="Heading1"/>
      </w:pPr>
      <w:r>
        <w:t xml:space="preserve">5. Your First Quarter (and Beyond)</w:t>
      </w:r>
    </w:p>
    <w:p>
      <w:pPr>
        <w:pStyle w:val="ListParagraph"/>
        <w:numPr>
          <w:ilvl w:val="0"/>
          <w:numId w:val="3"/>
        </w:numPr>
        <w:spacing w:after="80" w:line="276"/>
      </w:pPr>
      <w:r>
        <w:rPr>
          <w:b/>
          <w:bCs/>
          <w:sz w:val="22"/>
          <w:szCs w:val="22"/>
        </w:rPr>
        <w:t xml:space="preserve">Weeks 1–2 — </w:t>
      </w:r>
      <w:r>
        <w:rPr>
          <w:sz w:val="22"/>
          <w:szCs w:val="22"/>
        </w:rPr>
        <w:t xml:space="preserve">Adopt controls 1, 2, and 8 from the First 15 (exclusion screening, ownership verification, COI screen) — free public data, no workflow change.</w:t>
      </w:r>
    </w:p>
    <w:p>
      <w:pPr>
        <w:pStyle w:val="ListParagraph"/>
        <w:numPr>
          <w:ilvl w:val="0"/>
          <w:numId w:val="3"/>
        </w:numPr>
        <w:spacing w:after="80" w:line="276"/>
      </w:pPr>
      <w:r>
        <w:rPr>
          <w:b/>
          <w:bCs/>
          <w:sz w:val="22"/>
          <w:szCs w:val="22"/>
        </w:rPr>
        <w:t xml:space="preserve">Weeks 3–6 — </w:t>
      </w:r>
      <w:r>
        <w:rPr>
          <w:sz w:val="22"/>
          <w:szCs w:val="22"/>
        </w:rPr>
        <w:t xml:space="preserve">Stand up the authorization gates on your two highest-risk service lines (attestation, PA-match, beneficiary contact). Start collecting the evidence artifacts — they are your audit trail.</w:t>
      </w:r>
    </w:p>
    <w:p>
      <w:pPr>
        <w:pStyle w:val="ListParagraph"/>
        <w:numPr>
          <w:ilvl w:val="0"/>
          <w:numId w:val="3"/>
        </w:numPr>
        <w:spacing w:after="80" w:line="276"/>
      </w:pPr>
      <w:r>
        <w:rPr>
          <w:b/>
          <w:bCs/>
          <w:sz w:val="22"/>
          <w:szCs w:val="22"/>
        </w:rPr>
        <w:t xml:space="preserve">Weeks 7–12 — </w:t>
      </w:r>
      <w:r>
        <w:rPr>
          <w:sz w:val="22"/>
          <w:szCs w:val="22"/>
        </w:rPr>
        <w:t xml:space="preserve">Add 2–3 monitoring reports from existing data extracts (EVV variance, prescriber outliers, coding intensity); write the emergency minimum-control floor; hold your first quarterly control-failure review using the Diagnosis Matrix against whatever your SIU/analytics flagged.</w:t>
      </w:r>
    </w:p>
    <w:p>
      <w:pPr>
        <w:pStyle w:val="ListParagraph"/>
        <w:numPr>
          <w:ilvl w:val="0"/>
          <w:numId w:val="3"/>
        </w:numPr>
        <w:spacing w:after="80" w:line="276"/>
      </w:pPr>
      <w:r>
        <w:rPr>
          <w:b/>
          <w:bCs/>
          <w:sz w:val="22"/>
          <w:szCs w:val="22"/>
        </w:rPr>
        <w:t xml:space="preserve">Day 90 — </w:t>
      </w:r>
      <w:r>
        <w:rPr>
          <w:sz w:val="22"/>
          <w:szCs w:val="22"/>
        </w:rPr>
        <w:t xml:space="preserve">Re-run the module assessment at day 90 — the maturity delta is your result. Then expand to the next module by risk.</w:t>
      </w:r>
    </w:p>
    <w:p>
      <w:pPr>
        <w:spacing w:after="150" w:line="276"/>
      </w:pPr>
      <w:r>
        <w:rPr>
          <w:sz w:val="22"/>
          <w:szCs w:val="22"/>
        </w:rPr>
        <w:t xml:space="preserve">Deployment tiers if you outgrow files-on-a-drive: Tier 1 moves the workbooks into Microsoft 365 (SharePoint + Power BI) at ~no new cost; Tier 2 runs the analytics-flagged controls as read-only reports on claims extracts; Tier 3 attaches controls to your existing ticketing/GRC workflows; Tier 4 imports the crosswalk into an owned GRC platform. Full detail: HPI-CT_Deployment_Options_and_Recommendations (05_White_Paper/Supporting_Analysis).</w:t>
      </w:r>
    </w:p>
    <w:p>
      <w:pPr>
        <w:pStyle w:val="Heading1"/>
      </w:pPr>
      <w:r>
        <w:t xml:space="preserve">6. Using the Diagnosis Matrix with Your Detection Stack</w:t>
      </w:r>
    </w:p>
    <w:p>
      <w:pPr>
        <w:spacing w:after="150" w:line="276"/>
      </w:pPr>
      <w:r>
        <w:rPr>
          <w:sz w:val="22"/>
          <w:szCs w:val="22"/>
        </w:rPr>
        <w:t xml:space="preserve">When your analytics, SIU triage, or an audit produces a flag, look up its family in the Control-Failure Diagnosis Matrix (20 rows: upcoding outlier, PA absent, ownership-network hit, deceased beneficiary, phantom billing...). Read across to the lifecycle stage where the control broke, the specific control(s) that close it, and the evidence artifact to check first. Map your vendor's flag codes to the 20 families once. Guardrail: the matrix recommends control fixes — it must never influence an individual claim's payment, coverage, or denial decision.</w:t>
      </w:r>
    </w:p>
    <w:p>
      <w:pPr>
        <w:pStyle w:val="Heading1"/>
      </w:pPr>
      <w:r>
        <w:t xml:space="preserve">7. FAQ</w:t>
      </w:r>
    </w:p>
    <w:p>
      <w:pPr>
        <w:pStyle w:val="ListParagraph"/>
        <w:numPr>
          <w:ilvl w:val="0"/>
          <w:numId w:val="3"/>
        </w:numPr>
        <w:spacing w:after="80" w:line="276"/>
      </w:pPr>
      <w:r>
        <w:rPr>
          <w:b/>
          <w:bCs/>
          <w:sz w:val="22"/>
          <w:szCs w:val="22"/>
        </w:rPr>
        <w:t xml:space="preserve">Is this a detection/analytics tool? — </w:t>
      </w:r>
      <w:r>
        <w:rPr>
          <w:sz w:val="22"/>
          <w:szCs w:val="22"/>
        </w:rPr>
        <w:t xml:space="preserve">No. Nothing here scores claims. It tells you which controls to build so there are fewer claims to score, and — via the Diagnosis Matrix — which control to fix when your detection does fire.</w:t>
      </w:r>
    </w:p>
    <w:p>
      <w:pPr>
        <w:pStyle w:val="ListParagraph"/>
        <w:numPr>
          <w:ilvl w:val="0"/>
          <w:numId w:val="3"/>
        </w:numPr>
        <w:spacing w:after="80" w:line="276"/>
      </w:pPr>
      <w:r>
        <w:rPr>
          <w:b/>
          <w:bCs/>
          <w:sz w:val="22"/>
          <w:szCs w:val="22"/>
        </w:rPr>
        <w:t xml:space="preserve">Does any of my data leave my organization? — </w:t>
      </w:r>
      <w:r>
        <w:rPr>
          <w:sz w:val="22"/>
          <w:szCs w:val="22"/>
        </w:rPr>
        <w:t xml:space="preserve">No PHI, no claims data, ever. Assessments are about your processes; the Diagnosis Matrix takes flag categories, not claims. Analytics-flagged controls run on YOUR extracts inside YOUR environment.</w:t>
      </w:r>
    </w:p>
    <w:p>
      <w:pPr>
        <w:pStyle w:val="ListParagraph"/>
        <w:numPr>
          <w:ilvl w:val="0"/>
          <w:numId w:val="3"/>
        </w:numPr>
        <w:spacing w:after="80" w:line="276"/>
      </w:pPr>
      <w:r>
        <w:rPr>
          <w:b/>
          <w:bCs/>
          <w:sz w:val="22"/>
          <w:szCs w:val="22"/>
        </w:rPr>
        <w:t xml:space="preserve">We're not a government program — does this apply? — </w:t>
      </w:r>
      <w:r>
        <w:rPr>
          <w:sz w:val="22"/>
          <w:szCs w:val="22"/>
        </w:rPr>
        <w:t xml:space="preserve">Built from Medicare/Medicaid enforcement — the richest public evidence — but the scheme mechanics (phantom billing, upcoding, kickbacks, identity misuse) are payer-agnostic, and the controls apply to commercial operations; commercial regulatory anchors are being added.</w:t>
      </w:r>
    </w:p>
    <w:p>
      <w:pPr>
        <w:pStyle w:val="ListParagraph"/>
        <w:numPr>
          <w:ilvl w:val="0"/>
          <w:numId w:val="3"/>
        </w:numPr>
        <w:spacing w:after="80" w:line="276"/>
      </w:pPr>
      <w:r>
        <w:rPr>
          <w:b/>
          <w:bCs/>
          <w:sz w:val="22"/>
          <w:szCs w:val="22"/>
        </w:rPr>
        <w:t xml:space="preserve">160 controls is a lot — where do we start? — </w:t>
      </w:r>
      <w:r>
        <w:rPr>
          <w:sz w:val="22"/>
          <w:szCs w:val="22"/>
        </w:rPr>
        <w:t xml:space="preserve">Start with the First 15 and one module. 140 is the library, not the to-do list; your entity profile and assessment shrink it to what applies and what's missing.</w:t>
      </w:r>
    </w:p>
    <w:p>
      <w:pPr>
        <w:pStyle w:val="ListParagraph"/>
        <w:numPr>
          <w:ilvl w:val="0"/>
          <w:numId w:val="3"/>
        </w:numPr>
        <w:spacing w:after="80" w:line="276"/>
      </w:pPr>
      <w:r>
        <w:rPr>
          <w:b/>
          <w:bCs/>
          <w:sz w:val="22"/>
          <w:szCs w:val="22"/>
        </w:rPr>
        <w:t xml:space="preserve">How does it stay current? — </w:t>
      </w:r>
      <w:r>
        <w:rPr>
          <w:sz w:val="22"/>
          <w:szCs w:val="22"/>
        </w:rPr>
        <w:t xml:space="preserve">A daily/weekly automated pipeline refreshes the evidence base and monitors the source regulations; dated intelligence feeds and update-monitor reports live in 04_Evidence_DOJ_Analysis/Update_Pipeline.</w:t>
      </w:r>
    </w:p>
    <w:p>
      <w:pPr>
        <w:pStyle w:val="ListParagraph"/>
        <w:numPr>
          <w:ilvl w:val="0"/>
          <w:numId w:val="3"/>
        </w:numPr>
        <w:spacing w:after="80" w:line="276"/>
      </w:pPr>
      <w:r>
        <w:rPr>
          <w:b/>
          <w:bCs/>
          <w:sz w:val="22"/>
          <w:szCs w:val="22"/>
        </w:rPr>
        <w:t xml:space="preserve">Can we get help / pilot this with the author? — </w:t>
      </w:r>
      <w:r>
        <w:rPr>
          <w:sz w:val="22"/>
          <w:szCs w:val="22"/>
        </w:rPr>
        <w:t xml:space="preserve">Yes — a structured 90-day pilot protocol exists (06_Outreach/Pilot_Protocol_90-Day.md), costs nothing but attention, and produces an auditor-recognizable baseline. Contact the address on the cover.</w:t>
      </w:r>
    </w:p>
    <w:p>
      <w:pPr>
        <w:pStyle w:val="Heading1"/>
      </w:pPr>
      <w:r>
        <w:t xml:space="preserve">8. Disclaimers</w:t>
      </w:r>
    </w:p>
    <w:p>
      <w:pPr>
        <w:spacing w:after="150" w:line="276"/>
      </w:pPr>
      <w:r>
        <w:rPr>
          <w:i/>
          <w:iCs/>
          <w:color w:val="595959"/>
          <w:sz w:val="20"/>
          <w:szCs w:val="20"/>
        </w:rPr>
        <w:t xml:space="preserve">HPI-CT is a personal-capacity initiative built entirely from public sources; it is not affiliated with, and uses no data from, any employer. Everything is a draft for review: confirm citations and figures against primary sources before operational reliance. All case-base entries are allegations from public documents unless adjudicated; defendants are presumed innocent. Sample values in dashboards are illustrative, not benchmarks. The toolkit provides control-design guidance, not legal advice, and nothing in it should determine an individual claim, payment, coverage, or personnel decision.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HPI-CT User Guide v1.0 — July 2026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20" w:hanging="300"/>
      </w:pPr>
    </w:lvl>
  </w:abstractNum>
  <w:abstractNum w:abstractNumId="3" w15:restartNumberingAfterBreak="0">
    <w:multiLevelType w:val="hybridMultilevel"/>
    <w:lvl w:ilvl="0" w15:tentative="1">
      <w:start w:val="1"/>
      <w:numFmt w:val="bullet"/>
      <w:lvlText w:val="•"/>
      <w:lvlJc w:val="left"/>
      <w:pPr>
        <w:ind w:left="6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50" w:before="300"/>
      <w:outlineLvl w:val="0"/>
    </w:pPr>
    <w:rPr>
      <w:rFonts w:ascii="Arial" w:cs="Arial" w:eastAsia="Arial" w:hAnsi="Arial"/>
      <w:b/>
      <w:bCs/>
      <w:color w:val="1F3864"/>
      <w:sz w:val="27"/>
      <w:szCs w:val="27"/>
    </w:rPr>
  </w:style>
  <w:style w:type="paragraph" w:styleId="Heading2">
    <w:name w:val="Heading 2"/>
    <w:basedOn w:val="Normal"/>
    <w:next w:val="Normal"/>
    <w:pPr>
      <w:spacing w:after="110" w:before="220"/>
      <w:outlineLvl w:val="1"/>
    </w:pPr>
    <w:rPr>
      <w:rFonts w:ascii="Arial" w:cs="Arial" w:eastAsia="Arial" w:hAnsi="Arial"/>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2026-07-07T17:52:22.946Z</dcterms:created>
  <dcterms:modified xsi:type="dcterms:W3CDTF">2026-07-07T17:52:22.982Z</dcterms:modified>
</cp:coreProperties>
</file>

<file path=docProps/custom.xml><?xml version="1.0" encoding="utf-8"?>
<Properties xmlns="http://schemas.openxmlformats.org/officeDocument/2006/custom-properties" xmlns:vt="http://schemas.openxmlformats.org/officeDocument/2006/docPropsVTypes"/>
</file>