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b/>
          <w:bCs/>
          <w:color w:val="1F3864"/>
          <w:sz w:val="44"/>
          <w:szCs w:val="44"/>
        </w:rPr>
        <w:t xml:space="preserve">Preventing Healthcare Fraud, Waste, and Abuse Before It Happens</w:t>
      </w:r>
    </w:p>
    <w:p>
      <w:pPr>
        <w:spacing w:after="240"/>
        <w:jc w:val="center"/>
      </w:pPr>
      <w:r>
        <w:rPr>
          <w:color w:val="2E5496"/>
          <w:sz w:val="26"/>
          <w:szCs w:val="26"/>
        </w:rPr>
        <w:t xml:space="preserve">The Healthcare Program Integrity Control Toolkit (HPI-CT): A Green Book 2025–Aligned Internal Control Framework Grounded in 1,568 Coded DOJ Enforcement Cases</w:t>
      </w:r>
    </w:p>
    <w:p>
      <w:pPr>
        <w:spacing w:after="80"/>
        <w:jc w:val="center"/>
      </w:pPr>
      <w:r>
        <w:rPr>
          <w:sz w:val="24"/>
          <w:szCs w:val="24"/>
        </w:rPr>
        <w:t xml:space="preserve">Nicholas Nyarko</w:t>
      </w:r>
    </w:p>
    <w:p>
      <w:pPr>
        <w:spacing w:after="80"/>
        <w:jc w:val="center"/>
      </w:pPr>
      <w:r>
        <w:rPr>
          <w:color w:val="595959"/>
          <w:sz w:val="22"/>
          <w:szCs w:val="22"/>
        </w:rPr>
        <w:t xml:space="preserve">July 2026 · Draft v1.0 for review</w:t>
      </w:r>
    </w:p>
    <w:p>
      <w:pPr>
        <w:spacing w:after="400"/>
        <w:jc w:val="center"/>
      </w:pPr>
      <w:r>
        <w:rPr>
          <w:i/>
          <w:iCs/>
          <w:color w:val="595959"/>
          <w:sz w:val="18"/>
          <w:szCs w:val="18"/>
        </w:rPr>
        <w:t xml:space="preserve">Personal-capacity initiative · Built entirely from public sources · Not affiliated with any employer</w:t>
      </w:r>
    </w:p>
    <w:p>
      <w:pPr>
        <w:jc w:val="center"/>
      </w:pPr>
      <w:r>
        <w:rPr>
          <w:color w:val="595959"/>
          <w:sz w:val="20"/>
          <w:szCs w:val="20"/>
        </w:rPr>
        <w:t xml:space="preserve">Contact: focusfusionuniverse@gmail.com</w:t>
      </w:r>
    </w:p>
    <w:p>
      <w:r>
        <w:br w:type="page"/>
      </w:r>
    </w:p>
    <w:p>
      <w:pPr>
        <w:pStyle w:val="Heading1"/>
        <w:spacing w:after="160" w:before="320"/>
      </w:pPr>
      <w:r>
        <w:t xml:space="preserve">Abstract</w:t>
      </w:r>
    </w:p>
    <w:p>
      <w:pPr>
        <w:spacing w:after="140" w:line="276"/>
      </w:pPr>
      <w:r>
        <w:rPr>
          <w:sz w:val="22"/>
          <w:szCs w:val="22"/>
        </w:rPr>
        <w:t>Federal healthcare programs lost an estimated $95.5 billion to improper payments in FY2025, and the June 2025 National Health Care Fraud Takedown alleged $14.6 billion in fraud from 324 defendants — a record. The dominant industry response is detection: analytics engines that score claims after they are billed. This paper argues, from evidence, that detection alone cannot solve a problem that is structural: fraud succeeds because specific internal controls are missing at specific stages of the healthcare operational lifecycle, and those gaps are knowable in advance. We systematically coded 1,568 Department of Justice enforcement cases (2023–2026, approximately $36.4 billion in alleged billings; roughly four in five adjudicated or settled) to the control component, lifecycle stage, and GAO Green Book 2025 principle whose failure each scheme exploited. Control Activities failures account for 67% of cases and 74% of alleged dollars — transaction-level checks that simply did not exist — while a small number of enrollment and risk-assessment failures produce the catastrophic tail, exemplified by the $10.6 billion Operation Gold Rush scheme. From these failure patterns we derive HPI-CT: a free, vendor-neutral toolkit of 140 workflow-integrated controls across seven domains, each traceable to a regulation and, in 23 cases, to an open GAO/OIG oversight recommendation. A retrospective walkthrough shows the framework intercepting three of Gold Rush's five mechanics before payment. The toolkit deploys as a low-cost overlay — no system replacement — and is aimed at the organizations the detection market does not serve. We close with a call for 90-day pilot partners.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20"/>
      </w:pPr>
      <w:r>
        <w:t xml:space="preserve">1. The Problem Is Structural, Current, and Expensive</w:t>
      </w:r>
    </w:p>
    <w:p>
      <w:pPr>
        <w:spacing w:after="140" w:line="276"/>
      </w:pPr>
      <w:r>
        <w:rPr>
          <w:sz w:val="22"/>
          <w:szCs w:val="22"/>
        </w:rPr>
        <w:t xml:space="preserve">The scale is well documented. CMS's January 2026 release estimates roughly $95.5 billion in improper payments across federal healthcare programs for FY2025 — a 6.55% Medicare fee-for-service error rate ($28.83 billion) and a Medicaid/CHIP error profile in which insufficient documentation alone drives about 77% of improper payments. GAO’s first-ever government-wide fraud estimate (2024) puts direct federal losses to fraud at $233 billion to $521 billion annually — an order of magnitude beyond what enforcement recovers — and frames the answer in internal-control terms. Nor is the problem confined to government programs: the canonical JAMA analysis (Shrank et al., 2019) estimates $760–935 billion in annual waste across ALL U.S. healthcare spending, with fraud and abuse contributing $59–84 billion, payer-agnostic. Criminal enforcement tells the sharper story: the June 2025 National Health Care Fraud Takedown charged 324 defendants in connection with over $14.6 billion in alleged fraud, more than double the previous record, and the Department of Justice and HHS established a Joint False Claims Act Working Group in 2025 to intensify coordinated civil enforcement.</w:t>
      </w:r>
    </w:p>
    <w:p>
      <w:pPr>
        <w:spacing w:after="140" w:line="276"/>
      </w:pPr>
      <w:r>
        <w:rPr>
          <w:sz w:val="22"/>
          <w:szCs w:val="22"/>
        </w:rPr>
        <w:t xml:space="preserve">What the headlines obscure is the regularity underneath. Read as a dataset rather than as news, enforcement actions reveal a stable playbook: the same scheme families — kickback-driven billing for services not rendered, upcoded or unbundled claims, medically unnecessary equipment and tests ordered through telemarketing funnels, hospice and home-health enrollment of ineligible patients, straw-owner enrollment of billing shells — exploiting the same missing controls, year after year. Fraud in healthcare is not an anomaly-detection problem at its root. It is a control-system failure, and control-system failures are predictable, findable, and fixable.</w:t>
      </w:r>
    </w:p>
    <w:p>
      <w:pPr>
        <w:spacing w:after="140" w:line="276"/>
      </w:pPr>
      <w:r>
        <w:rPr>
          <w:sz w:val="22"/>
          <w:szCs w:val="22"/>
        </w:rPr>
        <w:t xml:space="preserve">The regulatory floor is moving in the same direction. The GAO's 2025 revision of the Green Book — the internal-control standard federal auditors apply — takes effect in FY2026 and, for the first time, explicitly requires assessment of fraud risk, improper-payment risk, and information-security risk. CMS's CRUSH initiative (Comprehensive Regulations to Uncover Suspicious Healthcare), launched with a February 27, 2026 Request for Information previewing a major anti-fraud rulemaking, signals tightening federal expectations around provider enrollment, ownership verification, and audit. Organizations will increasingly be asked not whether they detect fraud, but whether their controls would have prevented it.</w:t>
      </w:r>
    </w:p>
    <w:p>
      <w:pPr>
        <w:pStyle w:val="Heading1"/>
        <w:spacing w:after="160" w:before="320"/>
      </w:pPr>
      <w:r>
        <w:t xml:space="preserve">2. Why Detection Alone Fails</w:t>
      </w:r>
    </w:p>
    <w:p>
      <w:pPr>
        <w:spacing w:after="140" w:line="276"/>
      </w:pPr>
      <w:r>
        <w:rPr>
          <w:sz w:val="22"/>
          <w:szCs w:val="22"/>
        </w:rPr>
        <w:t xml:space="preserve">The commercial FWA market sits at two poles. At one pole are transactional detection and payment-integrity platforms — an industry of roughly $15 billion growing at double digits — that ingest claims, score them with rules and machine learning, and flag or recover payments. These systems work, and this paper does not argue against them. At the other pole is generic compliance-program tooling organized around the OIG's seven elements: policies, training, questionnaires. It verifies that a compliance program exists, not that any specific loophole is closed.</w:t>
      </w:r>
    </w:p>
    <w:p>
      <w:pPr>
        <w:spacing w:after="140" w:line="276"/>
      </w:pPr>
      <w:r>
        <w:rPr>
          <w:sz w:val="22"/>
          <w:szCs w:val="22"/>
        </w:rPr>
        <w:t xml:space="preserve">Three structural limits keep detection from solving the problem alone:</w:t>
      </w:r>
    </w:p>
    <w:p>
      <w:pPr>
        <w:pStyle w:val="ListParagraph"/>
        <w:numPr>
          <w:ilvl w:val="0"/>
          <w:numId w:val="2"/>
        </w:numPr>
        <w:spacing w:after="80" w:line="276"/>
      </w:pPr>
      <w:r>
        <w:rPr>
          <w:b/>
          <w:bCs/>
          <w:sz w:val="22"/>
          <w:szCs w:val="22"/>
        </w:rPr>
        <w:t xml:space="preserve">Timing. </w:t>
      </w:r>
      <w:r>
        <w:rPr>
          <w:sz w:val="22"/>
          <w:szCs w:val="22"/>
        </w:rPr>
        <w:t xml:space="preserve">Detection fires after exposure. In Operation Gold Rush, government analytics performed superbly once triggered — stopping all but about $41 million of the roughly $4.45 billion scheduled for payment. But the trigger came only after $10.6 billion had been billed and the identities of more than one million beneficiaries had been compromised. Detection cannot un-steal an identity or un-pay the portion that clears before the pattern emerges.</w:t>
      </w:r>
    </w:p>
    <w:p>
      <w:pPr>
        <w:pStyle w:val="ListParagraph"/>
        <w:numPr>
          <w:ilvl w:val="0"/>
          <w:numId w:val="2"/>
        </w:numPr>
        <w:spacing w:after="80" w:line="276"/>
      </w:pPr>
      <w:r>
        <w:rPr>
          <w:b/>
          <w:bCs/>
          <w:sz w:val="22"/>
          <w:szCs w:val="22"/>
        </w:rPr>
        <w:t xml:space="preserve">Access. </w:t>
      </w:r>
      <w:r>
        <w:rPr>
          <w:sz w:val="22"/>
          <w:szCs w:val="22"/>
        </w:rPr>
        <w:t xml:space="preserve">Detection is priced and engineered for large payers with data-science teams and integration budgets. Smaller payers, community health plans, FQHCs, third-party administrators, and state and local program-integrity units — a large share of the delivery system — can afford neither the platforms nor the consulting. No public, free, control-design framework serves them.</w:t>
      </w:r>
    </w:p>
    <w:p>
      <w:pPr>
        <w:pStyle w:val="ListParagraph"/>
        <w:numPr>
          <w:ilvl w:val="0"/>
          <w:numId w:val="2"/>
        </w:numPr>
        <w:spacing w:after="80" w:line="276"/>
      </w:pPr>
      <w:r>
        <w:rPr>
          <w:b/>
          <w:bCs/>
          <w:sz w:val="22"/>
          <w:szCs w:val="22"/>
        </w:rPr>
        <w:t xml:space="preserve">Direction. </w:t>
      </w:r>
      <w:r>
        <w:rPr>
          <w:sz w:val="22"/>
          <w:szCs w:val="22"/>
        </w:rPr>
        <w:t xml:space="preserve">Anomaly scoring reasons forward from claims data to outliers. It does not tell an institution which control was missing, who should own it, or what evidence would prove it is working. The 2025 takedown's own lesson is that schemes increasingly evade volume-based analytics through fragmentation — many commonly-owned entities each billing modestly. The fix for that is an enrollment control (ownership-network screening), not a better score.</w:t>
      </w:r>
    </w:p>
    <w:p>
      <w:pPr>
        <w:spacing w:after="140" w:line="276"/>
      </w:pPr>
      <w:r>
        <w:rPr>
          <w:sz w:val="22"/>
          <w:szCs w:val="22"/>
        </w:rPr>
        <w:t xml:space="preserve">The cross-industry evidence says prevention works: the ACFE’s Occupational Fraud 2026 report (2,402 real cases) finds that organizations with specific anti-fraud controls in place — proactive monitoring, management review, surprise audits — suffer materially lower losses and faster detection, and that schemes caught within six months cost a median $40,000 against more than $1.1 million for schemes running five years. Controls do not merely comply; they compress both the size and the lifespan of fraud. The gap between the poles is the institutional internal-control layer: specific, workflow-integrated, regulation-traceable controls derived from how schemes actually succeeded. That is the layer HPI-CT occupies — the prevention complement to detection, not its competitor.</w:t>
      </w:r>
    </w:p>
    <w:p>
      <w:pPr>
        <w:pStyle w:val="Heading1"/>
        <w:spacing w:after="160" w:before="320"/>
      </w:pPr>
      <w:r>
        <w:t xml:space="preserve">3. The Prevention Framework: Green Book 2025 and COSO, Operationalized</w:t>
      </w:r>
    </w:p>
    <w:p>
      <w:pPr>
        <w:spacing w:after="140" w:line="276"/>
      </w:pPr>
      <w:r>
        <w:rPr>
          <w:sz w:val="22"/>
          <w:szCs w:val="22"/>
        </w:rPr>
        <w:t xml:space="preserve">HPI-CT is built on the five components and seventeen principles of the GAO Green Book (2025 revision), which shares its architecture with the COSO Internal Control–Integrated Framework — the language federal auditors, state auditors, and independent CPAs already speak. The 2025 revision's new emphases — fraud risk (Principle 8), response to significant change (Principle 9), and improper-payment and information-security risk (Principle 7) — correspond directly to the failure patterns in the enforcement data.</w:t>
      </w:r>
    </w:p>
    <w:p>
      <w:pPr>
        <w:pStyle w:val="Heading2"/>
        <w:spacing w:after="120" w:before="240"/>
      </w:pPr>
      <w:r>
        <w:t xml:space="preserve">3.1 The operational lifecycle</w:t>
      </w:r>
    </w:p>
    <w:p>
      <w:pPr>
        <w:spacing w:after="140" w:line="276"/>
      </w:pPr>
      <w:r>
        <w:rPr>
          <w:sz w:val="22"/>
          <w:szCs w:val="22"/>
        </w:rPr>
        <w:t xml:space="preserve">The framework's organizing insight is that fraud is defeated at stages, and payment is only one of them. HPI-CT maps every control to an eight-stage operational lifecycle: (1) program governance and control design; (2) beneficiary eligibility; (3) provider enrollment and screening; (4) service authorization; (5) service delivery and documentation; (6) claim adjudication and payment; (7) monitoring and post-payment review; (8) corrective action — with a feedback loop returning post-payment and enforcement findings to governance. The schemes in the case base are defeated most cheaply at stages 2–4, long before a claim is scored.</w:t>
      </w:r>
    </w:p>
    <w:p>
      <w:pPr>
        <w:pStyle w:val="Heading2"/>
        <w:spacing w:after="120" w:before="240"/>
      </w:pPr>
      <w:r>
        <w:t xml:space="preserve">3.2 What makes a control a control</w:t>
      </w:r>
    </w:p>
    <w:p>
      <w:pPr>
        <w:spacing w:after="140" w:line="276"/>
      </w:pPr>
      <w:r>
        <w:rPr>
          <w:sz w:val="22"/>
          <w:szCs w:val="22"/>
        </w:rPr>
        <w:t xml:space="preserve">The framework rejects restated principles ('management should assess fraud risk') in favor of operational specificity. Every HPI-CT control specifies a trigger (the workflow event that fires it), an owner, a system touchpoint, an evidence artifact (what an auditor inspects), a frequency, the failure mode it prevents, its regulatory basis, and — where analytics adds value — the technique involved. Every control is SMART: specific, measurable, achievable, relevant, time-bound, and measurable from data the organization already collects. Twenty-three controls additionally answer open GAO or OIG oversight recommendations — gaps regulators have flagged but that remain unfixed — giving adopters a documented head start on the oversight agenda.</w:t>
      </w:r>
    </w:p>
    <w:p>
      <w:pPr>
        <w:pStyle w:val="Heading1"/>
        <w:spacing w:after="160" w:before="320"/>
      </w:pPr>
      <w:r>
        <w:t xml:space="preserve">4. The Evidence: 1,568 Coded DOJ Enforcement Cases</w:t>
      </w:r>
    </w:p>
    <w:p>
      <w:pPr>
        <w:pStyle w:val="Heading2"/>
        <w:spacing w:after="120" w:before="240"/>
      </w:pPr>
      <w:r>
        <w:t xml:space="preserve">4.1 Method</w:t>
      </w:r>
    </w:p>
    <w:p>
      <w:pPr>
        <w:spacing w:after="140" w:line="276"/>
      </w:pPr>
      <w:r>
        <w:rPr>
          <w:sz w:val="22"/>
          <w:szCs w:val="22"/>
        </w:rPr>
        <w:t>The evidence base began as a manual analysis of the 232 cases in the 2023–2025 National Health Care Fraud Enforcement Actions and has since been expanded, through a systematic daily harvest of DOJ press releases and filings, to 1,568 coded cases spanning 2023–2026 with approximately $36.4 billion in alleged billings (801 cases carry a case-specific dollar figure in the charging headline; amounts are conservatively omitted otherwise). Roughly four in five coded cases are adjudicated outcomes — sentencings, convictions, guilty pleas, or civil False Claims Act settlements — rather than charges alone. Each case is coded to a scheme category, the lifecycle stage exploited, the Green Book/COSO component and principle whose failure enabled it, and the toolkit module that addresses it. The base is enriched by 110 OIG/GAO/state oversight findings and 72 federal and state court cases retrieved via CourtListener. All entries are allegations from public documents unless adjudicated; defendants are presumed innocent; dollar figures reflect alleged billings, not proven loss.</w:t>
      </w:r>
    </w:p>
    <w:p>
      <w:pPr>
        <w:pStyle w:val="Heading2"/>
        <w:spacing w:after="120" w:before="240"/>
      </w:pPr>
      <w:r>
        <w:t xml:space="preserve">4.2 Where controls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60"/>
        <w:gridCol w:w="1500"/>
        <w:gridCol w:w="1700"/>
      </w:tblGrid>
      <w:tr>
        <w:trPr>
          <w:tblHeader/>
        </w:trPr>
        <w:tc>
          <w:tcPr>
            <w:tcW w:type="dxa" w:w="3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Green Book / COSO component</w:t>
            </w:r>
          </w:p>
        </w:tc>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Cases</w:t>
            </w:r>
          </w:p>
        </w:tc>
        <w:tc>
          <w:tcPr>
            <w:tcW w:type="dxa" w:w="1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 of cases</w:t>
            </w:r>
          </w:p>
        </w:tc>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Alleged $</w:t>
            </w:r>
          </w:p>
        </w:tc>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 of dollars</w:t>
            </w:r>
          </w:p>
        </w:tc>
      </w:tr>
      <w:tr>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Control Activities</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1,057</w:t>
            </w: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67.4%</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$26.97B</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74.1%</w:t>
            </w:r>
          </w:p>
        </w:tc>
      </w:tr>
      <w:tr>
        <w:tc>
          <w:tcPr>
            <w:tcW w:type="dxa" w:w="31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Monitoring</w:t>
            </w:r>
          </w:p>
        </w:tc>
        <w:tc>
          <w:tcPr>
            <w:tcW w:type="dxa" w:w="15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202</w:t>
            </w:r>
          </w:p>
        </w:tc>
        <w:tc>
          <w:tcPr>
            <w:tcW w:type="dxa" w:w="156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12.9%</w:t>
            </w:r>
          </w:p>
        </w:tc>
        <w:tc>
          <w:tcPr>
            <w:tcW w:type="dxa" w:w="15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$3.85B</w:t>
            </w:r>
          </w:p>
        </w:tc>
        <w:tc>
          <w:tcPr>
            <w:tcW w:type="dxa" w:w="17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10.6%</w:t>
            </w:r>
          </w:p>
        </w:tc>
      </w:tr>
      <w:tr>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Information &amp; Communication</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170</w:t>
            </w:r>
          </w:p>
        </w:tc>
        <w:tc>
          <w:tcPr>
            <w:tcW w:type="dxa" w:w="1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10.8%</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$2.15B</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5.9%</w:t>
            </w:r>
          </w:p>
        </w:tc>
      </w:tr>
      <w:tr>
        <w:tc>
          <w:tcPr>
            <w:tcW w:type="dxa" w:w="31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Risk Assessment</w:t>
            </w:r>
          </w:p>
        </w:tc>
        <w:tc>
          <w:tcPr>
            <w:tcW w:type="dxa" w:w="15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138</w:t>
            </w:r>
          </w:p>
        </w:tc>
        <w:tc>
          <w:tcPr>
            <w:tcW w:type="dxa" w:w="156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8.8%</w:t>
            </w:r>
          </w:p>
        </w:tc>
        <w:tc>
          <w:tcPr>
            <w:tcW w:type="dxa" w:w="15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$3.45B</w:t>
            </w:r>
          </w:p>
        </w:tc>
        <w:tc>
          <w:tcPr>
            <w:tcW w:type="dxa" w:w="17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9.5%</w:t>
            </w:r>
          </w:p>
        </w:tc>
      </w:tr>
    </w:tbl>
    <w:p>
      <w:pPr>
        <w:spacing w:after="200" w:before="60"/>
      </w:pPr>
      <w:r>
        <w:rPr>
          <w:i/>
          <w:iCs/>
          <w:color w:val="595959"/>
          <w:sz w:val="18"/>
          <w:szCs w:val="18"/>
        </w:rPr>
        <w:t xml:space="preserve">Table 1. Control-failure distribution across 1,568 coded DOJ cases, 2023–2026. Dollar shares computed over the 801 cases with case-specific alleged-billing figures.</w:t>
      </w:r>
    </w:p>
    <w:p>
      <w:pPr>
        <w:spacing w:after="140" w:line="276"/>
      </w:pPr>
      <w:r>
        <w:rPr>
          <w:sz w:val="22"/>
          <w:szCs w:val="22"/>
        </w:rPr>
        <w:t xml:space="preserve">Two findings matter most. First, the bulk of both volume and dollars sits in Control Activities: transaction-level checks — a prior-authorization match, a proof-of-delivery reconciliation, an attestation requirement, an exclusion screen — that simply did not exist or did not fire. These are the cheapest controls to implement, which is precisely the prevention opportunity. Second, the catastrophic tail behaves differently: the largest single schemes concentrate in enrollment and risk-assessment failures. In the original 232-case takedown analysis, risk-assessment failures were under 8% of cases but drove nearly 59% of dollars — an effect dominated by Operation Gold Rush's $10.6 billion. At the full 1,568-case scale that dollar share normalizes to 10%, but the structural lesson survives: a small number of governance-level gaps (who may enroll and bill at all) produce the billion-dollar events, while missing transaction controls produce the steady, high-volume bleed. A sound framework must close both.</w:t>
      </w:r>
    </w:p>
    <w:p>
      <w:pPr>
        <w:pStyle w:val="Heading2"/>
        <w:spacing w:after="120" w:before="240"/>
      </w:pPr>
      <w:r>
        <w:t xml:space="preserve">4.3 What the schemes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500"/>
        <w:gridCol w:w="1700"/>
        <w:gridCol w:w="2000"/>
      </w:tblGrid>
      <w:tr>
        <w:trPr>
          <w:tblHeader/>
        </w:trPr>
        <w:tc>
          <w:tcPr>
            <w:tcW w:type="dxa" w:w="41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Scheme category (top 8 of ~25)</w:t>
            </w:r>
          </w:p>
        </w:tc>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Cases</w:t>
            </w:r>
          </w:p>
        </w:tc>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Alleged $</w:t>
            </w:r>
          </w:p>
        </w:tc>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Primary lifecycle stage</w:t>
            </w:r>
          </w:p>
        </w:tc>
      </w:tr>
      <w:tr>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Opioid / controlled substance / pharmacy</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240</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$1.9B</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Authorization / delivery</w:t>
            </w:r>
          </w:p>
        </w:tc>
      </w:tr>
      <w:tr>
        <w:tc>
          <w:tcPr>
            <w:tcW w:type="dxa" w:w="416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Hospital/physician kickbacks (Stark / AKS)</w:t>
            </w:r>
          </w:p>
        </w:tc>
        <w:tc>
          <w:tcPr>
            <w:tcW w:type="dxa" w:w="15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148</w:t>
            </w:r>
          </w:p>
        </w:tc>
        <w:tc>
          <w:tcPr>
            <w:tcW w:type="dxa" w:w="17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$2.09B</w:t>
            </w:r>
          </w:p>
        </w:tc>
        <w:tc>
          <w:tcPr>
            <w:tcW w:type="dxa" w:w="20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Payment</w:t>
            </w:r>
          </w:p>
        </w:tc>
      </w:tr>
      <w:tr>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Telemedicine / genetic testing</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154</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$10.0B</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Authorization</w:t>
            </w:r>
          </w:p>
        </w:tc>
      </w:tr>
      <w:tr>
        <w:tc>
          <w:tcPr>
            <w:tcW w:type="dxa" w:w="416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COVID-19 / emergency programs</w:t>
            </w:r>
          </w:p>
        </w:tc>
        <w:tc>
          <w:tcPr>
            <w:tcW w:type="dxa" w:w="15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114</w:t>
            </w:r>
          </w:p>
        </w:tc>
        <w:tc>
          <w:tcPr>
            <w:tcW w:type="dxa" w:w="17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$1.9B</w:t>
            </w:r>
          </w:p>
        </w:tc>
        <w:tc>
          <w:tcPr>
            <w:tcW w:type="dxa" w:w="20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Governance / eligibility</w:t>
            </w:r>
          </w:p>
        </w:tc>
      </w:tr>
      <w:tr>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Durable medical equipment (DME)</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100</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$2.8B</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Enrollment / authorization</w:t>
            </w:r>
          </w:p>
        </w:tc>
      </w:tr>
      <w:tr>
        <w:tc>
          <w:tcPr>
            <w:tcW w:type="dxa" w:w="416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Hospice / home health</w:t>
            </w:r>
          </w:p>
        </w:tc>
        <w:tc>
          <w:tcPr>
            <w:tcW w:type="dxa" w:w="15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85</w:t>
            </w:r>
          </w:p>
        </w:tc>
        <w:tc>
          <w:tcPr>
            <w:tcW w:type="dxa" w:w="17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$2.7B</w:t>
            </w:r>
          </w:p>
        </w:tc>
        <w:tc>
          <w:tcPr>
            <w:tcW w:type="dxa" w:w="20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Eligibility / monitoring</w:t>
            </w:r>
          </w:p>
        </w:tc>
      </w:tr>
      <w:tr>
        <w:tc>
          <w:tcPr>
            <w:tcW w:type="dxa" w:w="41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Behavioral health / sober homes</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75</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$1.1B</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Authorization / delivery</w:t>
            </w:r>
          </w:p>
        </w:tc>
      </w:tr>
      <w:tr>
        <w:tc>
          <w:tcPr>
            <w:tcW w:type="dxa" w:w="416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Laboratory / urine drug testing</w:t>
            </w:r>
          </w:p>
        </w:tc>
        <w:tc>
          <w:tcPr>
            <w:tcW w:type="dxa" w:w="15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73</w:t>
            </w:r>
          </w:p>
        </w:tc>
        <w:tc>
          <w:tcPr>
            <w:tcW w:type="dxa" w:w="17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right"/>
            </w:pPr>
            <w:r>
              <w:rPr>
                <w:b w:val="false"/>
                <w:bCs w:val="false"/>
                <w:color w:val="000000"/>
                <w:sz w:val="19"/>
                <w:szCs w:val="19"/>
              </w:rPr>
              <w:t xml:space="preserve">$1.3B</w:t>
            </w:r>
          </w:p>
        </w:tc>
        <w:tc>
          <w:tcPr>
            <w:tcW w:type="dxa" w:w="20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Authorization</w:t>
            </w:r>
          </w:p>
        </w:tc>
      </w:tr>
    </w:tbl>
    <w:p>
      <w:pPr>
        <w:spacing w:after="200" w:before="60"/>
      </w:pPr>
      <w:r>
        <w:rPr>
          <w:i/>
          <w:iCs/>
          <w:color w:val="595959"/>
          <w:sz w:val="18"/>
          <w:szCs w:val="18"/>
        </w:rPr>
        <w:t xml:space="preserve">Table 2. Largest scheme categories in the coded case base, July 2026. Geographic concentration compounds the pattern: Florida, Texas, New York, California, and Arizona dominate case volume, so national-average control thresholds are themselves a control gap.</w:t>
      </w:r>
    </w:p>
    <w:p>
      <w:pPr>
        <w:pStyle w:val="Heading2"/>
        <w:spacing w:after="120" w:before="240"/>
      </w:pPr>
      <w:r>
        <w:t xml:space="preserve">4.4 Validation against Operation Gold Rush</w:t>
      </w:r>
    </w:p>
    <w:p>
      <w:pPr>
        <w:spacing w:after="140" w:line="276"/>
      </w:pPr>
      <w:r>
        <w:rPr>
          <w:sz w:val="22"/>
          <w:szCs w:val="22"/>
        </w:rPr>
        <w:t xml:space="preserve">The framework was stress-tested retrospectively against the largest scheme in the base. Operation Gold Rush used foreign-owned entities to rapidly acquire dozens of established U.S. medical-supply companies — inheriting their Medicare billing privileges — then billed $10.6 billion for catheters and other DME against the stolen identities of more than one million beneficiaries. Walking the scheme through the HPI-CT control set: three of its five mechanics are intercepted preventively — ownership-velocity and foreign-control flags at enrollment, and beneficiary identity confirmation, both firing before a single claim; the detective analytics that actually caught the scheme map to the toolkit's monitoring layer, validating that layer while demonstrating its position as the last line rather than the first. The walkthrough also exposed two design gaps now embedded in the framework: enrollment screening must be continuous (re-triggered by any beneficial-ownership change) rather than periodic, and volume-based analytics must be paired with network/graph analysis so fragmented, commonly-owned billers cannot slip under peer-comparison thresholds. This is a design validation, not a field trial — the distinction Section 7 returns to.</w:t>
      </w:r>
    </w:p>
    <w:p>
      <w:pPr>
        <w:pStyle w:val="Heading1"/>
        <w:spacing w:after="160" w:before="320"/>
      </w:pPr>
      <w:r>
        <w:t xml:space="preserve">5. The Toolkit: What an Adopter Actually Gets</w:t>
      </w:r>
    </w:p>
    <w:p>
      <w:pPr>
        <w:spacing w:after="140" w:line="276"/>
      </w:pPr>
      <w:r>
        <w:rPr>
          <w:sz w:val="22"/>
          <w:szCs w:val="22"/>
        </w:rPr>
        <w:t xml:space="preserve">HPI-CT ships as self-contained Excel workbooks and a single-file HTML dashboard — no server, no database, no build step, no license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5010"/>
        <w:gridCol w:w="3100"/>
      </w:tblGrid>
      <w:tr>
        <w:trPr>
          <w:tblHeader/>
        </w:trPr>
        <w:tc>
          <w:tcPr>
            <w:tcW w:type="dxa" w:w="125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Module</w:t>
            </w:r>
          </w:p>
        </w:tc>
        <w:tc>
          <w:tcPr>
            <w:tcW w:type="dxa" w:w="501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Domain</w:t>
            </w:r>
          </w:p>
        </w:tc>
        <w:tc>
          <w:tcPr>
            <w:tcW w:type="dxa" w:w="3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Anchor authorities</w:t>
            </w:r>
          </w:p>
        </w:tc>
      </w:tr>
      <w:tr>
        <w:tc>
          <w:tcPr>
            <w:tcW w:type="dxa" w:w="125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01</w:t>
            </w:r>
          </w:p>
        </w:tc>
        <w:tc>
          <w:tcPr>
            <w:tcW w:type="dxa" w:w="501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Provider Enrollment &amp; Screening (20 controls)</w:t>
            </w:r>
          </w:p>
        </w:tc>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42 CFR 424; LEIE/SAM; ownership screening</w:t>
            </w:r>
          </w:p>
        </w:tc>
      </w:tr>
      <w:tr>
        <w:tc>
          <w:tcPr>
            <w:tcW w:type="dxa" w:w="125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02</w:t>
            </w:r>
          </w:p>
        </w:tc>
        <w:tc>
          <w:tcPr>
            <w:tcW w:type="dxa" w:w="501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Program / Benefit Integrity (24)</w:t>
            </w:r>
          </w:p>
        </w:tc>
        <w:tc>
          <w:tcPr>
            <w:tcW w:type="dxa" w:w="31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Medicare PIM 100-08; Medicaid PIM; UPIC/RAC/CERT</w:t>
            </w:r>
          </w:p>
        </w:tc>
      </w:tr>
      <w:tr>
        <w:tc>
          <w:tcPr>
            <w:tcW w:type="dxa" w:w="125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03</w:t>
            </w:r>
          </w:p>
        </w:tc>
        <w:tc>
          <w:tcPr>
            <w:tcW w:type="dxa" w:w="501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Coding &amp; Billing Integrity (22)</w:t>
            </w:r>
          </w:p>
        </w:tc>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NCCI PTP/MUE edits; HCPCS; ICD-10</w:t>
            </w:r>
          </w:p>
        </w:tc>
      </w:tr>
      <w:tr>
        <w:tc>
          <w:tcPr>
            <w:tcW w:type="dxa" w:w="125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04</w:t>
            </w:r>
          </w:p>
        </w:tc>
        <w:tc>
          <w:tcPr>
            <w:tcW w:type="dxa" w:w="501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Prior Authorization &amp; Medical Necessity (19)</w:t>
            </w:r>
          </w:p>
        </w:tc>
        <w:tc>
          <w:tcPr>
            <w:tcW w:type="dxa" w:w="31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DMEPOS Master List; Required PA List</w:t>
            </w:r>
          </w:p>
        </w:tc>
      </w:tr>
      <w:tr>
        <w:tc>
          <w:tcPr>
            <w:tcW w:type="dxa" w:w="125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05</w:t>
            </w:r>
          </w:p>
        </w:tc>
        <w:tc>
          <w:tcPr>
            <w:tcW w:type="dxa" w:w="501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Coverage &amp; Documentation (20)</w:t>
            </w:r>
          </w:p>
        </w:tc>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NCD/LCD; Benefit Policy Manual; proof of delivery</w:t>
            </w:r>
          </w:p>
        </w:tc>
      </w:tr>
      <w:tr>
        <w:tc>
          <w:tcPr>
            <w:tcW w:type="dxa" w:w="125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06</w:t>
            </w:r>
          </w:p>
        </w:tc>
        <w:tc>
          <w:tcPr>
            <w:tcW w:type="dxa" w:w="501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Managed Care (Part C) &amp; Part D (28)</w:t>
            </w:r>
          </w:p>
        </w:tc>
        <w:tc>
          <w:tcPr>
            <w:tcW w:type="dxa" w:w="31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Manuals 100-16/100-18; RADV; 42 CFR 422/423</w:t>
            </w:r>
          </w:p>
        </w:tc>
      </w:tr>
      <w:tr>
        <w:tc>
          <w:tcPr>
            <w:tcW w:type="dxa" w:w="125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07</w:t>
            </w:r>
          </w:p>
        </w:tc>
        <w:tc>
          <w:tcPr>
            <w:tcW w:type="dxa" w:w="501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Medicaid &amp; CHIP Integrity (26)</w:t>
            </w:r>
          </w:p>
        </w:tc>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 xml:space="preserve">42 CFR 455/456; PERM; T-MSIS; PARIS</w:t>
            </w:r>
          </w:p>
        </w:tc>
      </w:tr>
      <w:tr>
        <w:tc>
          <w:tcPr>
            <w:tcW w:type="dxa" w:w="125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08</w:t>
            </w:r>
          </w:p>
        </w:tc>
        <w:tc>
          <w:tcPr>
            <w:tcW w:type="dxa" w:w="501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AI / Analytics Governance (1)</w:t>
            </w:r>
          </w:p>
        </w:tc>
        <w:tc>
          <w:tcPr>
            <w:tcW w:type="dxa" w:w="31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right"/>
            </w:pPr>
            <w:r>
              <w:rPr>
                <w:b w:val="false"/>
                <w:bCs w:val="false"/>
                <w:color w:val="000000"/>
                <w:sz w:val="19"/>
                <w:szCs w:val="19"/>
              </w:rPr>
              <w:t>NIST AI RMF (AI 100-1); OMB M-25-21; model governance</w:t>
            </w:r>
          </w:p>
        </w:tc>
      </w:tr>
    </w:tbl>
    <w:p>
      <w:pPr>
        <w:spacing w:after="200" w:before="60"/>
      </w:pPr>
      <w:r>
        <w:rPr>
          <w:i/>
          <w:iCs/>
          <w:color w:val="595959"/>
          <w:sz w:val="18"/>
          <w:szCs w:val="18"/>
        </w:rPr>
        <w:t xml:space="preserve">Table 3. The eight control-bearing modules — 160 controls total: 72 preventive, 82 detective, 6 corrective; 100 analytics-enabled.</w:t>
      </w:r>
    </w:p>
    <w:p>
      <w:pPr>
        <w:spacing w:after="140" w:line="276"/>
      </w:pPr>
      <w:r>
        <w:rPr>
          <w:sz w:val="22"/>
          <w:szCs w:val="22"/>
        </w:rPr>
        <w:t xml:space="preserve">Each module follows the same six-sheet discipline: an entity profile whose answers drive control applicability; a scored 0–3 assessment in which every question cites a specific regulation; an auto-computed five-level maturity score; the controls library; and a research base tracing every control to an official source. Around the modules sit the integrated 160 controls master crosswalk; a Green Book 2025 crosswalk with SMART metrics and a risk model; seven distilled regulatory guides and a data dictionary that translate the CMS manual system into usable reference; the coded case base itself; and an interactive dashboard that filters applicable controls by entity profile. An automated pipeline monitors the authoritative sources (NCCI quarterly edits, HCPCS, ICD-10, OIG Work Plan, Green Book, improper-payment releases) and feeds weekly enforcement intelligence into control priorities — the toolkit is maintained, not frozen.</w:t>
      </w:r>
    </w:p>
    <w:p>
      <w:pPr>
        <w:pStyle w:val="Heading1"/>
        <w:spacing w:after="160" w:before="320"/>
      </w:pPr>
      <w:r>
        <w:t xml:space="preserve">6. Implementation Roadmap: Overlay, Never Replace</w:t>
      </w:r>
    </w:p>
    <w:p>
      <w:pPr>
        <w:spacing w:after="140" w:line="276"/>
      </w:pPr>
      <w:r>
        <w:rPr>
          <w:sz w:val="22"/>
          <w:szCs w:val="22"/>
        </w:rPr>
        <w:t xml:space="preserve">The toolkit is deliberately deployable without replacing or integrating with any core system. Five tiers, cheapest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60"/>
        <w:gridCol w:w="3900"/>
        <w:gridCol w:w="20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Tier</w:t>
            </w:r>
          </w:p>
        </w:tc>
        <w:tc>
          <w:tcPr>
            <w:tcW w:type="dxa" w:w="2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Model</w:t>
            </w:r>
          </w:p>
        </w:tc>
        <w:tc>
          <w:tcPr>
            <w:tcW w:type="dxa" w:w="3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What it uses</w:t>
            </w:r>
          </w:p>
        </w:tc>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jc w:val="left"/>
            </w:pPr>
            <w:r>
              <w:rPr>
                <w:b/>
                <w:bCs/>
                <w:color w:val="FFFFFF"/>
                <w:sz w:val="19"/>
                <w:szCs w:val="19"/>
              </w:rPr>
              <w:t xml:space="preserve">New cost</w:t>
            </w:r>
          </w:p>
        </w:tc>
      </w:tr>
      <w:tr>
        <w:tc>
          <w:tcPr>
            <w:tcW w:type="dxa" w:w="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0</w:t>
            </w:r>
          </w:p>
        </w:tc>
        <w:tc>
          <w:tcPr>
            <w:tcW w:type="dxa" w:w="2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Run as-is</w:t>
            </w:r>
          </w:p>
        </w:tc>
        <w:tc>
          <w:tcPr>
            <w:tcW w:type="dxa" w:w="3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Excel + the HTML dashboard, local or shared drive</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~none</w:t>
            </w:r>
          </w:p>
        </w:tc>
      </w:tr>
      <w:tr>
        <w:tc>
          <w:tcPr>
            <w:tcW w:type="dxa" w:w="9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1</w:t>
            </w:r>
          </w:p>
        </w:tc>
        <w:tc>
          <w:tcPr>
            <w:tcW w:type="dxa" w:w="256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Microsoft 365 overlay</w:t>
            </w:r>
          </w:p>
        </w:tc>
        <w:tc>
          <w:tcPr>
            <w:tcW w:type="dxa" w:w="39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SharePoint/Teams, Excel Online, Power BI/Automate</w:t>
            </w:r>
          </w:p>
        </w:tc>
        <w:tc>
          <w:tcPr>
            <w:tcW w:type="dxa" w:w="20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~none if licensed</w:t>
            </w:r>
          </w:p>
        </w:tc>
      </w:tr>
      <w:tr>
        <w:tc>
          <w:tcPr>
            <w:tcW w:type="dxa" w:w="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2</w:t>
            </w:r>
          </w:p>
        </w:tc>
        <w:tc>
          <w:tcPr>
            <w:tcW w:type="dxa" w:w="2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Read-only analytics</w:t>
            </w:r>
          </w:p>
        </w:tc>
        <w:tc>
          <w:tcPr>
            <w:tcW w:type="dxa" w:w="3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Scheduled claims/EHR extracts + existing BI tools</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low</w:t>
            </w:r>
          </w:p>
        </w:tc>
      </w:tr>
      <w:tr>
        <w:tc>
          <w:tcPr>
            <w:tcW w:type="dxa" w:w="9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3</w:t>
            </w:r>
          </w:p>
        </w:tc>
        <w:tc>
          <w:tcPr>
            <w:tcW w:type="dxa" w:w="256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Workflow attach</w:t>
            </w:r>
          </w:p>
        </w:tc>
        <w:tc>
          <w:tcPr>
            <w:tcW w:type="dxa" w:w="39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Existing ticketing/GRC/EHR queues, light RPA</w:t>
            </w:r>
          </w:p>
        </w:tc>
        <w:tc>
          <w:tcPr>
            <w:tcW w:type="dxa" w:w="2000"/>
            <w:tcBorders>
              <w:top w:val="single" w:color="BFBFBF" w:sz="1"/>
              <w:left w:val="single" w:color="BFBFBF" w:sz="1"/>
              <w:bottom w:val="single" w:color="BFBFBF" w:sz="1"/>
              <w:right w:val="single" w:color="BFBFBF" w:sz="1"/>
            </w:tcBorders>
            <w:shd w:fill="EDF2F9" w:val="clear"/>
            <w:tcMar>
              <w:top w:type="dxa" w:w="70"/>
              <w:left w:type="dxa" w:w="110"/>
              <w:bottom w:type="dxa" w:w="70"/>
              <w:right w:type="dxa" w:w="110"/>
            </w:tcMar>
          </w:tcPr>
          <w:p>
            <w:pPr>
              <w:jc w:val="left"/>
            </w:pPr>
            <w:r>
              <w:rPr>
                <w:b w:val="false"/>
                <w:bCs w:val="false"/>
                <w:color w:val="000000"/>
                <w:sz w:val="19"/>
                <w:szCs w:val="19"/>
              </w:rPr>
              <w:t xml:space="preserve">low–moderate</w:t>
            </w:r>
          </w:p>
        </w:tc>
      </w:tr>
      <w:tr>
        <w:tc>
          <w:tcPr>
            <w:tcW w:type="dxa" w:w="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4</w:t>
            </w:r>
          </w:p>
        </w:tc>
        <w:tc>
          <w:tcPr>
            <w:tcW w:type="dxa" w:w="2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GRC import</w:t>
            </w:r>
          </w:p>
        </w:tc>
        <w:tc>
          <w:tcPr>
            <w:tcW w:type="dxa" w:w="3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An already-owned Archer/AuditBoard/MetricStream</w:t>
            </w:r>
          </w:p>
        </w:tc>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jc w:val="left"/>
            </w:pPr>
            <w:r>
              <w:rPr>
                <w:b w:val="false"/>
                <w:bCs w:val="false"/>
                <w:color w:val="000000"/>
                <w:sz w:val="19"/>
                <w:szCs w:val="19"/>
              </w:rPr>
              <w:t xml:space="preserve">sunk cost</w:t>
            </w:r>
          </w:p>
        </w:tc>
      </w:tr>
    </w:tbl>
    <w:p>
      <w:pPr>
        <w:spacing w:after="200" w:before="60"/>
      </w:pPr>
      <w:r>
        <w:rPr>
          <w:i/>
          <w:iCs/>
          <w:color w:val="595959"/>
          <w:sz w:val="18"/>
          <w:szCs w:val="18"/>
        </w:rPr>
        <w:t xml:space="preserve">Table 4. Deployment tiers. Analytics-flagged controls run against data extracts — read-only, human-in-the-loop, never an inline blocking edit.</w:t>
      </w:r>
    </w:p>
    <w:p>
      <w:pPr>
        <w:spacing w:after="140" w:line="276"/>
      </w:pPr>
      <w:r>
        <w:rPr>
          <w:sz w:val="22"/>
          <w:szCs w:val="22"/>
        </w:rPr>
        <w:t xml:space="preserve">A pragmatic first quarter: days 1–30, run the highest-risk module's assessment at Tier 0 and review maturity gaps with compliance; days 31–60, move to Tier 1, assign control owners, begin evidence collection; days 61–90, stand up two or three analytics-enabled controls as read-only reports and expand to a second module. Highest-impact early controls, from the evidence: monthly (not annual) LEIE/SAM screening with re-screening triggered by ownership change; pre-payment medical-necessity review on the highest-risk codes (skin substitutes, genetic testing, specialty DME); auditable physician attestation for high-value orders; benefit-level fraud-scenario analysis for the three costliest benefits; written minimum program-integrity floors that survive emergency conditions; and network/graph analytics in monitoring.</w:t>
      </w:r>
    </w:p>
    <w:p>
      <w:pPr>
        <w:pStyle w:val="Heading1"/>
        <w:spacing w:after="160" w:before="320"/>
      </w:pPr>
      <w:r>
        <w:t xml:space="preserve">7. Limitations and Responsible-Analytics Stance</w:t>
      </w:r>
    </w:p>
    <w:p>
      <w:pPr>
        <w:spacing w:after="140" w:line="276"/>
      </w:pPr>
      <w:r>
        <w:rPr>
          <w:sz w:val="22"/>
          <w:szCs w:val="22"/>
        </w:rPr>
        <w:t xml:space="preserve">Honesty about what this is: a methodology and toolkit, not a software product, and its validation is retrospective design analysis, not measured field performance. The case coding reflects a single coder working to a versioned coding rulebook (v1.0, July 2026); a conformance audit of all 1,568 cases found 90.6% agreement with canonical category coding, with most residuals attributable to documented sub-scheme splits, and a blind independent recode with Cohen’s kappa is planned before v1.0 final. Dollar figures are alleged billings from public charging documents — outcome-segmented analysis (convictions and settlements versus charges) is a v1.0 workstream. Lifecycle-stage assignments are partly heuristic and are being spot-verified. Analytics and AI appear throughout as properties of specific controls — flagged, technique-named, human-in-the-loop, advisory rather than claim-blocking — consistent with the NIST AI Risk Management Framework and emerging state law on automated decision-making in coverage. The framework needs what only deployment can supply: pilot evidence.</w:t>
      </w:r>
    </w:p>
    <w:p>
      <w:pPr>
        <w:pStyle w:val="Heading1"/>
        <w:spacing w:after="160" w:before="320"/>
      </w:pPr>
      <w:r>
        <w:t xml:space="preserve">8. Call for Pilot Partners</w:t>
      </w:r>
    </w:p>
    <w:p>
      <w:pPr>
        <w:spacing w:after="140" w:line="276"/>
      </w:pPr>
      <w:r>
        <w:rPr>
          <w:sz w:val="22"/>
          <w:szCs w:val="22"/>
        </w:rPr>
        <w:t xml:space="preserve">We are seeking a small number of 90-day pilot partners — a smaller payer or community health plan, a provider group or DMEPOS supplier, and a state or local program-integrity unit — to run the Tier 0/1 rollout described above and co-develop the outcome evidence this field lacks: baseline maturity deltas, controls adopted, near-miss interceptions, and cost-to-implement data. Pilots cost nothing but attention; partners get a structured, auditor-recognizable control baseline aligned to Green Book 2025 requirements and the emerging CRUSH regulatory agenda, plus co-authorship of any published results. Academic collaborators in fraud analytics and fraud control are equally welcome — the coded case base is available for joint research. Contact: focusfusionuniverse@gmail.com.</w:t>
      </w:r>
    </w:p>
    <w:p>
      <w:pPr>
        <w:pStyle w:val="Heading1"/>
        <w:spacing w:after="160" w:before="320"/>
      </w:pPr>
      <w:r>
        <w:t xml:space="preserve">References</w:t>
      </w:r>
    </w:p>
    <w:p>
      <w:pPr>
        <w:pStyle w:val="ListParagraph"/>
        <w:numPr>
          <w:ilvl w:val="0"/>
          <w:numId w:val="3"/>
        </w:numPr>
        <w:spacing w:after="80" w:line="276"/>
      </w:pPr>
      <w:r>
        <w:rPr>
          <w:sz w:val="22"/>
          <w:szCs w:val="22"/>
        </w:rPr>
        <w:t xml:space="preserve">CMS, FY2025 Improper Payments Fact Sheet (January 2026), cms.gov/newsroom/fact-sheets.</w:t>
      </w:r>
    </w:p>
    <w:p>
      <w:pPr>
        <w:pStyle w:val="ListParagraph"/>
        <w:numPr>
          <w:ilvl w:val="0"/>
          <w:numId w:val="3"/>
        </w:numPr>
        <w:spacing w:after="80" w:line="276"/>
      </w:pPr>
      <w:r>
        <w:rPr>
          <w:sz w:val="22"/>
          <w:szCs w:val="22"/>
        </w:rPr>
        <w:t xml:space="preserve">U.S. Department of Justice, 2025 National Health Care Fraud Takedown (June 2025) and Operation Gold Rush filings, justice.gov.</w:t>
      </w:r>
    </w:p>
    <w:p>
      <w:pPr>
        <w:pStyle w:val="ListParagraph"/>
        <w:numPr>
          <w:ilvl w:val="0"/>
          <w:numId w:val="3"/>
        </w:numPr>
        <w:spacing w:after="80" w:line="276"/>
      </w:pPr>
      <w:r>
        <w:rPr>
          <w:sz w:val="22"/>
          <w:szCs w:val="22"/>
        </w:rPr>
        <w:t xml:space="preserve">GAO, Standards for Internal Control in the Federal Government (Green Book), GAO-25-107721 (2025 revision, effective FY2026), gao.gov.</w:t>
      </w:r>
    </w:p>
    <w:p>
      <w:pPr>
        <w:pStyle w:val="ListParagraph"/>
        <w:numPr>
          <w:ilvl w:val="0"/>
          <w:numId w:val="3"/>
        </w:numPr>
        <w:spacing w:after="80" w:line="276"/>
      </w:pPr>
      <w:r>
        <w:rPr>
          <w:sz w:val="22"/>
          <w:szCs w:val="22"/>
        </w:rPr>
        <w:t xml:space="preserve">GAO, A Framework for Managing Fraud Risks in Federal Programs, GAO-15-593SP, gao.gov.</w:t>
      </w:r>
    </w:p>
    <w:p>
      <w:pPr>
        <w:pStyle w:val="ListParagraph"/>
        <w:numPr>
          <w:ilvl w:val="0"/>
          <w:numId w:val="3"/>
        </w:numPr>
        <w:spacing w:after="80" w:line="276"/>
      </w:pPr>
      <w:r>
        <w:rPr>
          <w:sz w:val="22"/>
          <w:szCs w:val="22"/>
        </w:rPr>
        <w:t xml:space="preserve">COSO, Internal Control — Integrated Framework (2013); COSO/ACFE, Fraud Risk Management Guide (2nd ed.), coso.org.</w:t>
      </w:r>
    </w:p>
    <w:p>
      <w:pPr>
        <w:pStyle w:val="ListParagraph"/>
        <w:numPr>
          <w:ilvl w:val="0"/>
          <w:numId w:val="3"/>
        </w:numPr>
        <w:spacing w:after="80" w:line="276"/>
      </w:pPr>
      <w:r>
        <w:rPr>
          <w:sz w:val="22"/>
          <w:szCs w:val="22"/>
        </w:rPr>
        <w:t xml:space="preserve">CMS, Request for Information: Comprehensive Regulations To Uncover Suspicious Healthcare (CRUSH), 91 Fed. Reg. (Feb. 27, 2026), federalregister.gov.</w:t>
      </w:r>
    </w:p>
    <w:p>
      <w:pPr>
        <w:pStyle w:val="ListParagraph"/>
        <w:numPr>
          <w:ilvl w:val="0"/>
          <w:numId w:val="3"/>
        </w:numPr>
        <w:spacing w:after="80" w:line="276"/>
      </w:pPr>
      <w:r>
        <w:rPr>
          <w:sz w:val="22"/>
          <w:szCs w:val="22"/>
        </w:rPr>
        <w:t xml:space="preserve">HHS-OIG, General Compliance Program Guidance (2023) and Work Plan, oig.hhs.gov.</w:t>
      </w:r>
    </w:p>
    <w:p>
      <w:pPr>
        <w:pStyle w:val="ListParagraph"/>
        <w:numPr>
          <w:ilvl w:val="0"/>
          <w:numId w:val="3"/>
        </w:numPr>
        <w:spacing w:after="80" w:line="276"/>
      </w:pPr>
      <w:r>
        <w:rPr>
          <w:sz w:val="22"/>
          <w:szCs w:val="22"/>
        </w:rPr>
        <w:t xml:space="preserve">DOJ &amp; HHS, Joint False Claims Act Working Group announcement (July 2025).</w:t>
      </w:r>
    </w:p>
    <w:p>
      <w:pPr>
        <w:pStyle w:val="ListParagraph"/>
        <w:numPr>
          <w:ilvl w:val="0"/>
          <w:numId w:val="3"/>
        </w:numPr>
        <w:spacing w:after="80" w:line="276"/>
      </w:pPr>
      <w:r>
        <w:rPr>
          <w:sz w:val="22"/>
          <w:szCs w:val="22"/>
        </w:rPr>
        <w:t xml:space="preserve">HHS-OIG / DOJ, Health Care Fraud and Abuse Control (HCFAC) Program Annual Report, oig.hhs.gov.</w:t>
      </w:r>
    </w:p>
    <w:p>
      <w:pPr>
        <w:pStyle w:val="ListParagraph"/>
        <w:numPr>
          <w:ilvl w:val="0"/>
          <w:numId w:val="3"/>
        </w:numPr>
        <w:spacing w:after="80" w:line="276"/>
      </w:pPr>
      <w:r>
        <w:rPr>
          <w:sz w:val="22"/>
          <w:szCs w:val="22"/>
        </w:rPr>
        <w:t xml:space="preserve">GAO, Fraud Risk Management: 2018–2022 Data Show Federal Government Loses an Estimated $233 Billion to $521 Billion Annually to Fraud, GAO-24-105833 (2024), gao.gov.</w:t>
      </w:r>
    </w:p>
    <w:p>
      <w:pPr>
        <w:pStyle w:val="ListParagraph"/>
        <w:numPr>
          <w:ilvl w:val="0"/>
          <w:numId w:val="3"/>
        </w:numPr>
        <w:spacing w:after="80" w:line="276"/>
      </w:pPr>
      <w:r>
        <w:rPr>
          <w:sz w:val="22"/>
          <w:szCs w:val="22"/>
        </w:rPr>
        <w:t xml:space="preserve">Shrank WH, Rogstad TL, Parekh N, Waste in the US Health Care System: Estimated Costs and Potential for Savings, JAMA. 2019;322(15):1501–1509.</w:t>
      </w:r>
    </w:p>
    <w:p>
      <w:pPr>
        <w:pStyle w:val="ListParagraph"/>
        <w:numPr>
          <w:ilvl w:val="0"/>
          <w:numId w:val="3"/>
        </w:numPr>
        <w:spacing w:after="80" w:line="276"/>
      </w:pPr>
      <w:r>
        <w:rPr>
          <w:sz w:val="22"/>
          <w:szCs w:val="22"/>
        </w:rPr>
        <w:t xml:space="preserve">ACFE, Occupational Fraud 2026: A Report to the Nations, acfe.com.</w:t>
      </w:r>
    </w:p>
    <w:p>
      <w:pPr>
        <w:pStyle w:val="ListParagraph"/>
        <w:numPr>
          <w:ilvl w:val="0"/>
          <w:numId w:val="3"/>
        </w:numPr>
        <w:spacing w:after="80" w:line="276"/>
      </w:pPr>
      <w:r>
        <w:rPr>
          <w:sz w:val="22"/>
          <w:szCs w:val="22"/>
        </w:rPr>
        <w:t xml:space="preserve">NIST, Artificial Intelligence Risk Management Framework (AI 100-1), nist.gov.</w:t>
      </w:r>
    </w:p>
    <w:p>
      <w:pPr>
        <w:pStyle w:val="ListParagraph"/>
        <w:numPr>
          <w:ilvl w:val="0"/>
          <w:numId w:val="3"/>
        </w:numPr>
        <w:spacing w:after="80" w:line="276"/>
      </w:pPr>
      <w:r>
        <w:rPr>
          <w:sz w:val="22"/>
          <w:szCs w:val="22"/>
        </w:rPr>
        <w:t xml:space="preserve">HPI-CT companion artifacts (this repository): FWA Case Base; Integrated Controls Crosswalk; Green Book 2025 Control Crosswalk; Operation Gold Rush Proof-of-Concept Case Study; Deployment Options &amp; Recommendations; Market Differentiation Assessment.</w:t>
      </w:r>
    </w:p>
    <w:p>
      <w:pPr>
        <w:pBdr>
          <w:top w:val="single" w:color="CCCCCC" w:sz="4" w:space="4"/>
        </w:pBdr>
        <w:spacing w:before="240"/>
      </w:pPr>
      <w:r>
        <w:rPr>
          <w:i/>
          <w:iCs/>
          <w:color w:val="595959"/>
          <w:sz w:val="16"/>
          <w:szCs w:val="16"/>
        </w:rPr>
        <w:t xml:space="preserve">Draft for review. All case entries are allegations from public sources unless adjudicated; defendants are presumed innocent. Figures were computed from the project case base on July 6, 2026 and should be confirmed against primary sources before external use. This document provides control-design guidance, not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HPI-CT White Paper — July 2026 (Draft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2026-07-07T01:39:01.089Z</dcterms:created>
  <dcterms:modified xsi:type="dcterms:W3CDTF">2026-07-07T01:39:01.093Z</dcterms:modified>
</cp:coreProperties>
</file>

<file path=docProps/custom.xml><?xml version="1.0" encoding="utf-8"?>
<Properties xmlns="http://schemas.openxmlformats.org/officeDocument/2006/custom-properties" xmlns:vt="http://schemas.openxmlformats.org/officeDocument/2006/docPropsVTypes"/>
</file>