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 xml:space="preserve">HPI-CT Quick-Start: The First 15 Controls</w:t>
      </w:r>
    </w:p>
    <w:p>
      <w:pPr>
        <w:pBdr>
          <w:bottom w:val="single" w:color="2E5496" w:sz="6" w:space="3"/>
        </w:pBdr>
        <w:spacing w:after="110"/>
        <w:jc w:val="center"/>
      </w:pPr>
      <w:r>
        <w:rPr>
          <w:i/>
          <w:iCs/>
          <w:color w:val="595959"/>
          <w:sz w:val="16"/>
          <w:szCs w:val="16"/>
        </w:rPr>
        <w:t xml:space="preserve">Ranked by enforcement evidence (1,494 coded DOJ cases, ~$36.1B alleged) × cheapness to implement · July 2026 · Draft for review</w:t>
      </w:r>
    </w:p>
    <w:p>
      <w:pPr>
        <w:spacing w:after="100"/>
      </w:pPr>
      <w:r>
        <w:rPr>
          <w:sz w:val="19"/>
          <w:szCs w:val="19"/>
        </w:rPr>
        <w:t xml:space="preserve">The full toolkit holds 160 controls across seven modules. Most organizations should start here: fifteen controls that address the failure modes behind the largest share of prosecuted healthcare fraud, each implementable in weeks using data you already have (or free public data), with a named evidence artifact an auditor can inspect. Coverage spans the whole operational cycle — governance to corrective action — not just claims.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080"/>
        <w:gridCol w:w="2350"/>
        <w:gridCol w:w="1500"/>
        <w:gridCol w:w="1560"/>
      </w:tblGrid>
      <w:tr>
        <w:trPr>
          <w:tblHeader/>
        </w:trP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Stage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Evidence from the case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Cost / data 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Evidence artifact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 Monthly exclusion screening (OIG LEIE + SAM.gov), all providers/vendors/owners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 Enrollment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Enrollment/nominee schemes: 47 cases / $1.5B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Free public data; hours/month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Dated screening log + hit resolution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 Beneficial-ownership verification with re-screen on ANY ownership change + acquisition-velocity flag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 Enrollment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Gold Rush mechanic #1 ($10.6B); TCO/nominee cases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enrollment/credentialing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Ownership attestation + change log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 Physician attestation of personal patient evaluation for every high-value order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 Authorization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Telemedicine/genetic testing: 129 cases / $11.0B — largest $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order workflow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Signed attestation on file per order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 Prior-auth / medical-necessity gate on the highest-risk codes (skin substitutes, genetic panels, specialty DME, compounded drugs)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 Authorization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Wound care $2.5B + labs $1.4B + compounding $1.5B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Low-moderate; existing UM workflow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 decision record linked to claim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5. Beneficiary/patient contact verification before paying high-value DME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 Authorization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DME: 98 cases / $2.8B; catheter mega-schemes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tiered by $ and velocity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Contact-confirmation log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6. Claim-to-PA match edit (no PA on file, claim pends)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 Payment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Deterministic; closes the auth-to-claim gap in categories above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claims edit or extract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Exception report, worked weekly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7. Pre-payment documentation completeness check on top error-prone services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 Documentation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Insufficient documentation ≈ 77% of Medicaid PERM improper payments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checklist per service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Completeness checklist in file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8. Open Payments / conflict-of-interest screen on top referral relationships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 Payment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Kickbacks (Stark/AKS): 186 cases / $2.2B — highest case count after opioids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Free public data (CMS Open Payments)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Annual COI review memo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9. EVV reconciliation: billed visits vs electronic visit verification for home health &amp; personal care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 Delivery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Hospice/home health 96 cases / $2.8B + personal care 53 cases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EVV data usually exists (Cures Act mandate)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Monthly billed-vs-EVV variance report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10. Hospice eligibility re-verification at election + fixed cadence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 Eligibility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Hospice ineligible-patient enrollment; recurring OIG finding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Low-moderate; clinical review sample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Eligibility re-cert worksheet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11. Prescribing-pattern review vs PDMP for controlled substances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 Monitoring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Opioid/pharmacy: 244 cases — highest case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PDMP access is free to prescribers/plans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Quarterly outlier-prescriber report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12. Coding-intensity outlier report (E&amp;M levels, modifier abuse) vs peer baseline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 Monitoring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Upcoding/E&amp;M 21 cases + persistent CERT error cause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runs on existing claims extract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Quarterly coding outlier report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13. Independent sample re-review of risk-adjustment diagnoses before submission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 Payment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 risk adjustment: 50 cases / $2.0B; RADV exposure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Moderate; chart-review sample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 validation memo per submission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14. Emergency/waiver-period minimum-control floor (written) + anomaly watch on waiver-billed codes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 Governance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COVID-19 schemes: 113 cases / $1.9B — controls dropped in emergencies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policy + one monitoring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Board-approved PI floor policy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15. Quarterly control-failure review: new enforcement cases → your control gaps (the feedback loop)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 Corrective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whole case base: 1,494 coded cases / $36.1B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Low; this toolkit's learnings sheet does the 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Quarterly PI committee minutes</w:t>
            </w:r>
          </w:p>
        </w:tc>
      </w:tr>
    </w:tbl>
    <w:p>
      <w:pPr>
        <w:pStyle w:val="Heading2"/>
        <w:spacing w:after="60" w:before="140"/>
      </w:pPr>
      <w:r>
        <w:rPr>
          <w:b/>
          <w:bCs/>
          <w:color w:val="1F3864"/>
          <w:sz w:val="21"/>
          <w:szCs w:val="21"/>
        </w:rPr>
        <w:t xml:space="preserve">How to run the first quarter</w:t>
      </w:r>
    </w:p>
    <w:p>
      <w:pPr>
        <w:spacing w:after="100"/>
      </w:pPr>
      <w:r>
        <w:rPr>
          <w:sz w:val="19"/>
          <w:szCs w:val="19"/>
        </w:rPr>
        <w:t xml:space="preserve">Weeks 1–2: adopt controls 1, 2, and 8 (free public data, no workflow change). Weeks 3–6: stand up the authorization gates (3, 4, 5, 6) on your two highest-risk service lines. Weeks 7–12: add the monitoring reports (9, 11, 12) from existing extracts, write the emergency floor (14), and hold the first quarterly control-failure review (15). Then use the module assessments to plan the remaining 125 controls by maturity gap.</w:t>
      </w:r>
    </w:p>
    <w:p>
      <w:pPr>
        <w:pBdr>
          <w:top w:val="single" w:color="CCCCCC" w:sz="4" w:space="3"/>
        </w:pBdr>
        <w:spacing w:before="80"/>
      </w:pPr>
      <w:r>
        <w:rPr>
          <w:i/>
          <w:iCs/>
          <w:color w:val="595959"/>
          <w:sz w:val="14"/>
          <w:szCs w:val="14"/>
        </w:rPr>
        <w:t xml:space="preserve">Case counts/dollars are alleged figures from public DOJ documents (defendants presumed innocent), computed from the HPI-CT FWA Case Base 2026-07-06. Personal-capacity, public-source project; control-design guidance, not legal advice. Full control specifications: HPI-CT modules 01–07 and the Integrated Controls Crosswalk.</w:t>
      </w:r>
    </w:p>
    <w:sectPr>
      <w:pgSz w:w="12240" w:h="15840" w:orient="portrait"/>
      <w:pgMar w:top="880" w:right="1100" w:bottom="8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60" w:before="140"/>
      <w:outlineLvl w:val="1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2026-07-07T03:29:44.332Z</dcterms:created>
  <dcterms:modified xsi:type="dcterms:W3CDTF">2026-07-07T03:29:44.341Z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