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E1BECA" w14:textId="67CDEF68" w:rsidR="00412297" w:rsidRPr="00412297" w:rsidRDefault="00412297" w:rsidP="00412297">
      <w:pPr>
        <w:shd w:val="clear" w:color="auto" w:fill="FFFFFF"/>
        <w:spacing w:after="120" w:line="360" w:lineRule="atLeast"/>
        <w:jc w:val="center"/>
        <w:rPr>
          <w:rFonts w:ascii="Arial" w:eastAsia="Times New Roman" w:hAnsi="Arial" w:cs="Arial"/>
          <w:color w:val="1E1E1E"/>
          <w:sz w:val="24"/>
          <w:szCs w:val="24"/>
          <w:lang w:eastAsia="en-GB"/>
        </w:rPr>
      </w:pPr>
      <w:r w:rsidRPr="00412297">
        <w:rPr>
          <w:rFonts w:ascii="Arial" w:eastAsia="Times New Roman" w:hAnsi="Arial" w:cs="Arial"/>
          <w:noProof/>
          <w:color w:val="0A64D7"/>
          <w:sz w:val="24"/>
          <w:szCs w:val="24"/>
          <w:lang w:eastAsia="en-GB"/>
        </w:rPr>
        <w:drawing>
          <wp:inline distT="0" distB="0" distL="0" distR="0" wp14:anchorId="7213516D" wp14:editId="11A0FB1B">
            <wp:extent cx="1524000" cy="1323975"/>
            <wp:effectExtent l="0" t="0" r="0" b="9525"/>
            <wp:docPr id="2" name="Picture 2" descr="Legislation Crest">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gislation Crest">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0" cy="1323975"/>
                    </a:xfrm>
                    <a:prstGeom prst="rect">
                      <a:avLst/>
                    </a:prstGeom>
                    <a:noFill/>
                    <a:ln>
                      <a:noFill/>
                    </a:ln>
                  </pic:spPr>
                </pic:pic>
              </a:graphicData>
            </a:graphic>
          </wp:inline>
        </w:drawing>
      </w:r>
    </w:p>
    <w:p w14:paraId="7961181B" w14:textId="77777777" w:rsidR="00412297" w:rsidRPr="00412297" w:rsidRDefault="00412297" w:rsidP="00412297">
      <w:pPr>
        <w:shd w:val="clear" w:color="auto" w:fill="FFFFFF"/>
        <w:spacing w:before="240" w:after="240" w:line="288" w:lineRule="atLeast"/>
        <w:jc w:val="center"/>
        <w:outlineLvl w:val="0"/>
        <w:rPr>
          <w:rFonts w:ascii="Arial" w:eastAsia="Times New Roman" w:hAnsi="Arial" w:cs="Arial"/>
          <w:b/>
          <w:bCs/>
          <w:color w:val="000000"/>
          <w:kern w:val="36"/>
          <w:sz w:val="36"/>
          <w:szCs w:val="36"/>
          <w:lang w:eastAsia="en-GB"/>
        </w:rPr>
      </w:pPr>
      <w:r w:rsidRPr="00412297">
        <w:rPr>
          <w:rFonts w:ascii="Arial" w:eastAsia="Times New Roman" w:hAnsi="Arial" w:cs="Arial"/>
          <w:b/>
          <w:bCs/>
          <w:color w:val="000000"/>
          <w:kern w:val="36"/>
          <w:sz w:val="36"/>
          <w:szCs w:val="36"/>
          <w:lang w:eastAsia="en-GB"/>
        </w:rPr>
        <w:t>Treason Act 1351</w:t>
      </w:r>
    </w:p>
    <w:p w14:paraId="1CE6C403" w14:textId="77777777" w:rsidR="00412297" w:rsidRPr="00412297" w:rsidRDefault="00412297" w:rsidP="00412297">
      <w:pPr>
        <w:shd w:val="clear" w:color="auto" w:fill="FFFFFF"/>
        <w:spacing w:after="240" w:line="288" w:lineRule="atLeast"/>
        <w:jc w:val="center"/>
        <w:outlineLvl w:val="0"/>
        <w:rPr>
          <w:rFonts w:ascii="Arial" w:eastAsia="Times New Roman" w:hAnsi="Arial" w:cs="Arial"/>
          <w:b/>
          <w:bCs/>
          <w:color w:val="000000"/>
          <w:kern w:val="36"/>
          <w:sz w:val="24"/>
          <w:szCs w:val="24"/>
          <w:lang w:eastAsia="en-GB"/>
        </w:rPr>
      </w:pPr>
      <w:r w:rsidRPr="00412297">
        <w:rPr>
          <w:rFonts w:ascii="Arial" w:eastAsia="Times New Roman" w:hAnsi="Arial" w:cs="Arial"/>
          <w:b/>
          <w:bCs/>
          <w:color w:val="000000"/>
          <w:kern w:val="36"/>
          <w:sz w:val="24"/>
          <w:szCs w:val="24"/>
          <w:lang w:eastAsia="en-GB"/>
        </w:rPr>
        <w:t xml:space="preserve">1351 CHAPTER 2 25 </w:t>
      </w:r>
      <w:proofErr w:type="spellStart"/>
      <w:r w:rsidRPr="00412297">
        <w:rPr>
          <w:rFonts w:ascii="Arial" w:eastAsia="Times New Roman" w:hAnsi="Arial" w:cs="Arial"/>
          <w:b/>
          <w:bCs/>
          <w:color w:val="000000"/>
          <w:kern w:val="36"/>
          <w:sz w:val="24"/>
          <w:szCs w:val="24"/>
          <w:lang w:eastAsia="en-GB"/>
        </w:rPr>
        <w:t>Edw</w:t>
      </w:r>
      <w:proofErr w:type="spellEnd"/>
      <w:r w:rsidRPr="00412297">
        <w:rPr>
          <w:rFonts w:ascii="Arial" w:eastAsia="Times New Roman" w:hAnsi="Arial" w:cs="Arial"/>
          <w:b/>
          <w:bCs/>
          <w:color w:val="000000"/>
          <w:kern w:val="36"/>
          <w:sz w:val="24"/>
          <w:szCs w:val="24"/>
          <w:lang w:eastAsia="en-GB"/>
        </w:rPr>
        <w:t xml:space="preserve"> 3 Stat 5</w:t>
      </w:r>
    </w:p>
    <w:p w14:paraId="5BFA78D6" w14:textId="77777777" w:rsidR="00412297" w:rsidRPr="00412297" w:rsidRDefault="00412297" w:rsidP="00412297">
      <w:pPr>
        <w:shd w:val="clear" w:color="auto" w:fill="FFFFFF"/>
        <w:spacing w:before="240" w:after="0" w:line="360" w:lineRule="atLeast"/>
        <w:jc w:val="both"/>
        <w:rPr>
          <w:rFonts w:ascii="Arial" w:eastAsia="Times New Roman" w:hAnsi="Arial" w:cs="Arial"/>
          <w:color w:val="1E1E1E"/>
          <w:sz w:val="19"/>
          <w:szCs w:val="19"/>
          <w:lang w:eastAsia="en-GB"/>
        </w:rPr>
      </w:pPr>
      <w:r w:rsidRPr="00412297">
        <w:rPr>
          <w:rFonts w:ascii="Arial" w:eastAsia="Times New Roman" w:hAnsi="Arial" w:cs="Arial"/>
          <w:color w:val="1E1E1E"/>
          <w:sz w:val="19"/>
          <w:szCs w:val="19"/>
          <w:lang w:eastAsia="en-GB"/>
        </w:rPr>
        <w:t>A STATUTE made at WESTMINSTER; In the Parliament holden in the Feast of Saint Hilary; In the Twenty-fifth Year of the Reign of K. EDWARD the Third.</w:t>
      </w:r>
      <w:hyperlink r:id="rId6" w:anchor="commentary-c919018" w:tooltip="View the commentary text for this item" w:history="1">
        <w:r w:rsidRPr="00412297">
          <w:rPr>
            <w:rFonts w:ascii="Arial" w:eastAsia="Times New Roman" w:hAnsi="Arial" w:cs="Arial"/>
            <w:b/>
            <w:bCs/>
            <w:color w:val="0A64D7"/>
            <w:sz w:val="24"/>
            <w:szCs w:val="24"/>
            <w:u w:val="single"/>
            <w:lang w:eastAsia="en-GB"/>
          </w:rPr>
          <w:t>X1</w:t>
        </w:r>
      </w:hyperlink>
    </w:p>
    <w:p w14:paraId="28379D66" w14:textId="77777777" w:rsidR="00412297" w:rsidRDefault="00412297" w:rsidP="00412297">
      <w:pPr>
        <w:spacing w:after="120" w:line="288" w:lineRule="atLeast"/>
        <w:outlineLvl w:val="1"/>
        <w:rPr>
          <w:rFonts w:ascii="Arial" w:eastAsia="Times New Roman" w:hAnsi="Arial" w:cs="Arial"/>
          <w:b/>
          <w:bCs/>
          <w:color w:val="000000"/>
          <w:sz w:val="19"/>
          <w:szCs w:val="19"/>
          <w:lang w:eastAsia="en-GB"/>
        </w:rPr>
      </w:pPr>
    </w:p>
    <w:p w14:paraId="1DA93F50" w14:textId="50715E33" w:rsidR="00412297" w:rsidRPr="00412297" w:rsidRDefault="00412297" w:rsidP="00412297">
      <w:pPr>
        <w:spacing w:after="120" w:line="288" w:lineRule="atLeast"/>
        <w:outlineLvl w:val="1"/>
        <w:rPr>
          <w:rFonts w:ascii="Roboto" w:eastAsia="Times New Roman" w:hAnsi="Roboto" w:cs="Times New Roman"/>
          <w:color w:val="000000"/>
          <w:sz w:val="19"/>
          <w:szCs w:val="19"/>
          <w:lang w:eastAsia="en-GB"/>
        </w:rPr>
      </w:pPr>
      <w:r w:rsidRPr="00412297">
        <w:rPr>
          <w:rFonts w:ascii="Arial" w:eastAsia="Times New Roman" w:hAnsi="Arial" w:cs="Arial"/>
          <w:b/>
          <w:bCs/>
          <w:color w:val="000000"/>
          <w:sz w:val="19"/>
          <w:szCs w:val="19"/>
          <w:lang w:eastAsia="en-GB"/>
        </w:rPr>
        <w:t>II</w:t>
      </w:r>
      <w:r>
        <w:rPr>
          <w:rFonts w:ascii="Arial" w:eastAsia="Times New Roman" w:hAnsi="Arial" w:cs="Arial"/>
          <w:b/>
          <w:bCs/>
          <w:color w:val="000000"/>
          <w:sz w:val="19"/>
          <w:szCs w:val="19"/>
          <w:lang w:eastAsia="en-GB"/>
        </w:rPr>
        <w:t xml:space="preserve"> </w:t>
      </w:r>
      <w:r w:rsidRPr="00412297">
        <w:rPr>
          <w:rFonts w:ascii="Arial" w:eastAsia="Times New Roman" w:hAnsi="Arial" w:cs="Arial"/>
          <w:b/>
          <w:bCs/>
          <w:color w:val="000000"/>
          <w:sz w:val="19"/>
          <w:szCs w:val="19"/>
          <w:lang w:eastAsia="en-GB"/>
        </w:rPr>
        <w:t>Declaration what Offences shall be adjudged Treason. Compassing the Death of the King, Queen, or their eldest Son; violating the Queen, or the King’s eldest Daughter unmarried, or his eldest Son’s Wife; levying War; adhering to the King’s Enemies; killing the Chancellor, Treasurer, or Judges in Execution of their Duty.</w:t>
      </w:r>
    </w:p>
    <w:p w14:paraId="00EE97D0" w14:textId="77777777" w:rsidR="00412297" w:rsidRPr="00412297" w:rsidRDefault="00412297" w:rsidP="00412297">
      <w:pPr>
        <w:shd w:val="clear" w:color="auto" w:fill="FFFFFF"/>
        <w:spacing w:after="120" w:line="360" w:lineRule="atLeast"/>
        <w:jc w:val="both"/>
        <w:rPr>
          <w:rFonts w:ascii="Arial" w:eastAsia="Times New Roman" w:hAnsi="Arial" w:cs="Arial"/>
          <w:color w:val="1E1E1E"/>
          <w:sz w:val="24"/>
          <w:szCs w:val="24"/>
          <w:lang w:eastAsia="en-GB"/>
        </w:rPr>
      </w:pPr>
      <w:r w:rsidRPr="00412297">
        <w:rPr>
          <w:rFonts w:ascii="Arial" w:eastAsia="Times New Roman" w:hAnsi="Arial" w:cs="Arial"/>
          <w:color w:val="1E1E1E"/>
          <w:sz w:val="24"/>
          <w:szCs w:val="24"/>
          <w:lang w:eastAsia="en-GB"/>
        </w:rPr>
        <w:t>ITEM, Whereas divers Opinions have been before this Time </w:t>
      </w:r>
      <w:r w:rsidRPr="00412297">
        <w:rPr>
          <w:rFonts w:ascii="Arial" w:eastAsia="Times New Roman" w:hAnsi="Arial" w:cs="Arial"/>
          <w:b/>
          <w:bCs/>
          <w:color w:val="000000"/>
          <w:sz w:val="34"/>
          <w:szCs w:val="34"/>
          <w:lang w:eastAsia="en-GB"/>
        </w:rPr>
        <w:t>[</w:t>
      </w:r>
      <w:hyperlink r:id="rId7" w:anchor="commentary-c919019" w:tooltip="View the commentary text for this item" w:history="1">
        <w:r w:rsidRPr="00412297">
          <w:rPr>
            <w:rFonts w:ascii="Arial" w:eastAsia="Times New Roman" w:hAnsi="Arial" w:cs="Arial"/>
            <w:b/>
            <w:bCs/>
            <w:color w:val="0A64D7"/>
            <w:sz w:val="24"/>
            <w:szCs w:val="24"/>
            <w:u w:val="single"/>
            <w:lang w:eastAsia="en-GB"/>
          </w:rPr>
          <w:t>X2</w:t>
        </w:r>
      </w:hyperlink>
      <w:r w:rsidRPr="00412297">
        <w:rPr>
          <w:rFonts w:ascii="Arial" w:eastAsia="Times New Roman" w:hAnsi="Arial" w:cs="Arial"/>
          <w:color w:val="1E1E1E"/>
          <w:sz w:val="24"/>
          <w:szCs w:val="24"/>
          <w:lang w:eastAsia="en-GB"/>
        </w:rPr>
        <w:t>in what Case Treason shall be said, and in what not;</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xml:space="preserve"> the King, at the Request of the Lords and of the Commons, hath made a Declaration in the Manner as hereafter </w:t>
      </w:r>
      <w:proofErr w:type="spellStart"/>
      <w:r w:rsidRPr="00412297">
        <w:rPr>
          <w:rFonts w:ascii="Arial" w:eastAsia="Times New Roman" w:hAnsi="Arial" w:cs="Arial"/>
          <w:color w:val="1E1E1E"/>
          <w:sz w:val="24"/>
          <w:szCs w:val="24"/>
          <w:lang w:eastAsia="en-GB"/>
        </w:rPr>
        <w:t>followeth</w:t>
      </w:r>
      <w:proofErr w:type="spellEnd"/>
      <w:r w:rsidRPr="00412297">
        <w:rPr>
          <w:rFonts w:ascii="Arial" w:eastAsia="Times New Roman" w:hAnsi="Arial" w:cs="Arial"/>
          <w:color w:val="1E1E1E"/>
          <w:sz w:val="24"/>
          <w:szCs w:val="24"/>
          <w:lang w:eastAsia="en-GB"/>
        </w:rPr>
        <w:t>, that is to say; When a Man doth compass or imagine the Death of our Lord the King, or of our Lady his </w:t>
      </w:r>
      <w:r w:rsidRPr="00412297">
        <w:rPr>
          <w:rFonts w:ascii="Arial" w:eastAsia="Times New Roman" w:hAnsi="Arial" w:cs="Arial"/>
          <w:b/>
          <w:bCs/>
          <w:color w:val="000000"/>
          <w:sz w:val="34"/>
          <w:szCs w:val="34"/>
          <w:lang w:eastAsia="en-GB"/>
        </w:rPr>
        <w:t>[</w:t>
      </w:r>
      <w:hyperlink r:id="rId8" w:anchor="commentary-c919020" w:tooltip="View the commentary text for this item" w:history="1">
        <w:r w:rsidRPr="00412297">
          <w:rPr>
            <w:rFonts w:ascii="Arial" w:eastAsia="Times New Roman" w:hAnsi="Arial" w:cs="Arial"/>
            <w:b/>
            <w:bCs/>
            <w:color w:val="0A64D7"/>
            <w:sz w:val="24"/>
            <w:szCs w:val="24"/>
            <w:u w:val="single"/>
            <w:lang w:eastAsia="en-GB"/>
          </w:rPr>
          <w:t>X3</w:t>
        </w:r>
      </w:hyperlink>
      <w:r w:rsidRPr="00412297">
        <w:rPr>
          <w:rFonts w:ascii="Arial" w:eastAsia="Times New Roman" w:hAnsi="Arial" w:cs="Arial"/>
          <w:color w:val="1E1E1E"/>
          <w:sz w:val="24"/>
          <w:szCs w:val="24"/>
          <w:lang w:eastAsia="en-GB"/>
        </w:rPr>
        <w:t>Queen</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or of their eldest Son and Heir; or if a Man do violate the King’s </w:t>
      </w:r>
      <w:r w:rsidRPr="00412297">
        <w:rPr>
          <w:rFonts w:ascii="Arial" w:eastAsia="Times New Roman" w:hAnsi="Arial" w:cs="Arial"/>
          <w:b/>
          <w:bCs/>
          <w:color w:val="000000"/>
          <w:sz w:val="34"/>
          <w:szCs w:val="34"/>
          <w:lang w:eastAsia="en-GB"/>
        </w:rPr>
        <w:t>[</w:t>
      </w:r>
      <w:hyperlink r:id="rId9" w:anchor="commentary-c919020" w:tooltip="View the commentary text for this item" w:history="1">
        <w:r w:rsidRPr="00412297">
          <w:rPr>
            <w:rFonts w:ascii="Arial" w:eastAsia="Times New Roman" w:hAnsi="Arial" w:cs="Arial"/>
            <w:b/>
            <w:bCs/>
            <w:color w:val="0A64D7"/>
            <w:sz w:val="24"/>
            <w:szCs w:val="24"/>
            <w:u w:val="single"/>
            <w:lang w:eastAsia="en-GB"/>
          </w:rPr>
          <w:t>X3</w:t>
        </w:r>
      </w:hyperlink>
      <w:r w:rsidRPr="00412297">
        <w:rPr>
          <w:rFonts w:ascii="Arial" w:eastAsia="Times New Roman" w:hAnsi="Arial" w:cs="Arial"/>
          <w:color w:val="1E1E1E"/>
          <w:sz w:val="24"/>
          <w:szCs w:val="24"/>
          <w:lang w:eastAsia="en-GB"/>
        </w:rPr>
        <w:t>Companion,</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or the King’s eldest Daughter unmarried, or the Wife (</w:t>
      </w:r>
      <w:hyperlink r:id="rId10" w:anchor="commentary-c919022" w:tooltip="View the commentary text for this item" w:history="1">
        <w:r w:rsidRPr="00412297">
          <w:rPr>
            <w:rFonts w:ascii="Arial" w:eastAsia="Times New Roman" w:hAnsi="Arial" w:cs="Arial"/>
            <w:b/>
            <w:bCs/>
            <w:color w:val="0A64D7"/>
            <w:sz w:val="24"/>
            <w:szCs w:val="24"/>
            <w:u w:val="single"/>
            <w:lang w:eastAsia="en-GB"/>
          </w:rPr>
          <w:t>X4</w:t>
        </w:r>
      </w:hyperlink>
      <w:r w:rsidRPr="00412297">
        <w:rPr>
          <w:rFonts w:ascii="Arial" w:eastAsia="Times New Roman" w:hAnsi="Arial" w:cs="Arial"/>
          <w:color w:val="1E1E1E"/>
          <w:sz w:val="24"/>
          <w:szCs w:val="24"/>
          <w:lang w:eastAsia="en-GB"/>
        </w:rPr>
        <w:t>) the King’s eldest Son and Heir; or if a Man do levy War against our Lord the King in his Realm, or be adherent to the King’s Enemies in his Realm, giving to them Aid and Comfort in the Realm, or elsewhere, and thereof be </w:t>
      </w:r>
      <w:r w:rsidRPr="00412297">
        <w:rPr>
          <w:rFonts w:ascii="Arial" w:eastAsia="Times New Roman" w:hAnsi="Arial" w:cs="Arial"/>
          <w:b/>
          <w:bCs/>
          <w:color w:val="000000"/>
          <w:sz w:val="34"/>
          <w:szCs w:val="34"/>
          <w:lang w:eastAsia="en-GB"/>
        </w:rPr>
        <w:t>[</w:t>
      </w:r>
      <w:hyperlink r:id="rId11" w:anchor="commentary-c919023" w:tooltip="View the commentary text for this item" w:history="1">
        <w:r w:rsidRPr="00412297">
          <w:rPr>
            <w:rFonts w:ascii="Arial" w:eastAsia="Times New Roman" w:hAnsi="Arial" w:cs="Arial"/>
            <w:b/>
            <w:bCs/>
            <w:color w:val="0A64D7"/>
            <w:sz w:val="24"/>
            <w:szCs w:val="24"/>
            <w:u w:val="single"/>
            <w:lang w:eastAsia="en-GB"/>
          </w:rPr>
          <w:t>X5</w:t>
        </w:r>
      </w:hyperlink>
      <w:r w:rsidRPr="00412297">
        <w:rPr>
          <w:rFonts w:ascii="Arial" w:eastAsia="Times New Roman" w:hAnsi="Arial" w:cs="Arial"/>
          <w:color w:val="1E1E1E"/>
          <w:sz w:val="24"/>
          <w:szCs w:val="24"/>
          <w:lang w:eastAsia="en-GB"/>
        </w:rPr>
        <w:t>probably</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attainted of open Deed by </w:t>
      </w:r>
      <w:r w:rsidRPr="00412297">
        <w:rPr>
          <w:rFonts w:ascii="Arial" w:eastAsia="Times New Roman" w:hAnsi="Arial" w:cs="Arial"/>
          <w:b/>
          <w:bCs/>
          <w:color w:val="000000"/>
          <w:sz w:val="34"/>
          <w:szCs w:val="34"/>
          <w:lang w:eastAsia="en-GB"/>
        </w:rPr>
        <w:t>[</w:t>
      </w:r>
      <w:hyperlink r:id="rId12" w:anchor="commentary-c919024" w:tooltip="View the commentary text for this item" w:history="1">
        <w:r w:rsidRPr="00412297">
          <w:rPr>
            <w:rFonts w:ascii="Arial" w:eastAsia="Times New Roman" w:hAnsi="Arial" w:cs="Arial"/>
            <w:b/>
            <w:bCs/>
            <w:color w:val="0A64D7"/>
            <w:sz w:val="24"/>
            <w:szCs w:val="24"/>
            <w:u w:val="single"/>
            <w:lang w:eastAsia="en-GB"/>
          </w:rPr>
          <w:t>X6</w:t>
        </w:r>
      </w:hyperlink>
      <w:r w:rsidRPr="00412297">
        <w:rPr>
          <w:rFonts w:ascii="Arial" w:eastAsia="Times New Roman" w:hAnsi="Arial" w:cs="Arial"/>
          <w:color w:val="1E1E1E"/>
          <w:sz w:val="24"/>
          <w:szCs w:val="24"/>
          <w:lang w:eastAsia="en-GB"/>
        </w:rPr>
        <w:t>the People</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of their Condition: . . . </w:t>
      </w:r>
      <w:hyperlink r:id="rId13" w:anchor="commentary-c919025" w:tooltip="View the commentary text for this item" w:history="1">
        <w:r w:rsidRPr="00412297">
          <w:rPr>
            <w:rFonts w:ascii="Arial" w:eastAsia="Times New Roman" w:hAnsi="Arial" w:cs="Arial"/>
            <w:b/>
            <w:bCs/>
            <w:color w:val="0A64D7"/>
            <w:sz w:val="24"/>
            <w:szCs w:val="24"/>
            <w:u w:val="single"/>
            <w:lang w:eastAsia="en-GB"/>
          </w:rPr>
          <w:t>F1</w:t>
        </w:r>
      </w:hyperlink>
      <w:r w:rsidRPr="00412297">
        <w:rPr>
          <w:rFonts w:ascii="Arial" w:eastAsia="Times New Roman" w:hAnsi="Arial" w:cs="Arial"/>
          <w:color w:val="1E1E1E"/>
          <w:sz w:val="24"/>
          <w:szCs w:val="24"/>
          <w:lang w:eastAsia="en-GB"/>
        </w:rPr>
        <w:t xml:space="preserve">, and if a Man </w:t>
      </w:r>
      <w:proofErr w:type="spellStart"/>
      <w:r w:rsidRPr="00412297">
        <w:rPr>
          <w:rFonts w:ascii="Arial" w:eastAsia="Times New Roman" w:hAnsi="Arial" w:cs="Arial"/>
          <w:color w:val="1E1E1E"/>
          <w:sz w:val="24"/>
          <w:szCs w:val="24"/>
          <w:lang w:eastAsia="en-GB"/>
        </w:rPr>
        <w:t>slea</w:t>
      </w:r>
      <w:proofErr w:type="spellEnd"/>
      <w:r w:rsidRPr="00412297">
        <w:rPr>
          <w:rFonts w:ascii="Arial" w:eastAsia="Times New Roman" w:hAnsi="Arial" w:cs="Arial"/>
          <w:color w:val="1E1E1E"/>
          <w:sz w:val="24"/>
          <w:szCs w:val="24"/>
          <w:lang w:eastAsia="en-GB"/>
        </w:rPr>
        <w:t xml:space="preserve"> the Chancellor, Treasurer, or the King’s Justices of the one Bench or the other, Justices in Eyre, or Justices of Assise, and all other Justices assigned to hear and determine, being in their Places, doing their Offices: And it is to be understood, that in the Cases above rehearsed, </w:t>
      </w:r>
      <w:r w:rsidRPr="00412297">
        <w:rPr>
          <w:rFonts w:ascii="Arial" w:eastAsia="Times New Roman" w:hAnsi="Arial" w:cs="Arial"/>
          <w:b/>
          <w:bCs/>
          <w:color w:val="000000"/>
          <w:sz w:val="34"/>
          <w:szCs w:val="34"/>
          <w:lang w:eastAsia="en-GB"/>
        </w:rPr>
        <w:t>[</w:t>
      </w:r>
      <w:hyperlink r:id="rId14" w:anchor="commentary-c919026" w:tooltip="View the commentary text for this item" w:history="1">
        <w:r w:rsidRPr="00412297">
          <w:rPr>
            <w:rFonts w:ascii="Arial" w:eastAsia="Times New Roman" w:hAnsi="Arial" w:cs="Arial"/>
            <w:b/>
            <w:bCs/>
            <w:color w:val="0A64D7"/>
            <w:sz w:val="24"/>
            <w:szCs w:val="24"/>
            <w:u w:val="single"/>
            <w:lang w:eastAsia="en-GB"/>
          </w:rPr>
          <w:t>X7</w:t>
        </w:r>
      </w:hyperlink>
      <w:r w:rsidRPr="00412297">
        <w:rPr>
          <w:rFonts w:ascii="Arial" w:eastAsia="Times New Roman" w:hAnsi="Arial" w:cs="Arial"/>
          <w:color w:val="1E1E1E"/>
          <w:sz w:val="24"/>
          <w:szCs w:val="24"/>
          <w:lang w:eastAsia="en-GB"/>
        </w:rPr>
        <w:t>that</w:t>
      </w:r>
      <w:r w:rsidRPr="00412297">
        <w:rPr>
          <w:rFonts w:ascii="Arial" w:eastAsia="Times New Roman" w:hAnsi="Arial" w:cs="Arial"/>
          <w:b/>
          <w:bCs/>
          <w:color w:val="000000"/>
          <w:sz w:val="34"/>
          <w:szCs w:val="34"/>
          <w:lang w:eastAsia="en-GB"/>
        </w:rPr>
        <w:t>]</w:t>
      </w:r>
      <w:r w:rsidRPr="00412297">
        <w:rPr>
          <w:rFonts w:ascii="Arial" w:eastAsia="Times New Roman" w:hAnsi="Arial" w:cs="Arial"/>
          <w:color w:val="1E1E1E"/>
          <w:sz w:val="24"/>
          <w:szCs w:val="24"/>
          <w:lang w:eastAsia="en-GB"/>
        </w:rPr>
        <w:t> ought to be judged Treason which extends to our Lord the King, and his Royal Majesty: . . . </w:t>
      </w:r>
      <w:hyperlink r:id="rId15" w:anchor="commentary-c919027" w:tooltip="View the commentary text for this item" w:history="1">
        <w:r w:rsidRPr="00412297">
          <w:rPr>
            <w:rFonts w:ascii="Arial" w:eastAsia="Times New Roman" w:hAnsi="Arial" w:cs="Arial"/>
            <w:b/>
            <w:bCs/>
            <w:color w:val="0A64D7"/>
            <w:sz w:val="24"/>
            <w:szCs w:val="24"/>
            <w:u w:val="single"/>
            <w:lang w:eastAsia="en-GB"/>
          </w:rPr>
          <w:t>F2</w:t>
        </w:r>
      </w:hyperlink>
    </w:p>
    <w:p w14:paraId="666B88D8" w14:textId="77777777" w:rsidR="00412297" w:rsidRDefault="00412297" w:rsidP="00412297">
      <w:pPr>
        <w:shd w:val="clear" w:color="auto" w:fill="FFFFFF"/>
        <w:spacing w:after="0" w:line="240" w:lineRule="auto"/>
        <w:rPr>
          <w:rFonts w:ascii="Arial" w:eastAsia="Times New Roman" w:hAnsi="Arial" w:cs="Arial"/>
          <w:noProof/>
          <w:color w:val="0A64D7"/>
          <w:sz w:val="24"/>
          <w:szCs w:val="24"/>
          <w:lang w:eastAsia="en-GB"/>
        </w:rPr>
      </w:pPr>
    </w:p>
    <w:p w14:paraId="5C42BF6F" w14:textId="466DBE94" w:rsidR="00412297" w:rsidRPr="00412297" w:rsidRDefault="00412297" w:rsidP="00412297">
      <w:pPr>
        <w:shd w:val="clear" w:color="auto" w:fill="FFFFFF"/>
        <w:spacing w:after="0" w:line="240" w:lineRule="auto"/>
        <w:rPr>
          <w:rFonts w:ascii="Arial" w:eastAsia="Times New Roman" w:hAnsi="Arial" w:cs="Arial"/>
          <w:color w:val="000000"/>
          <w:sz w:val="24"/>
          <w:szCs w:val="24"/>
          <w:lang w:eastAsia="en-GB"/>
        </w:rPr>
      </w:pPr>
    </w:p>
    <w:p w14:paraId="3DC07441" w14:textId="73E0B87D" w:rsidR="008F3C1D" w:rsidRDefault="008F3C1D"/>
    <w:p w14:paraId="658F4EEA" w14:textId="504FCF62" w:rsidR="00412297" w:rsidRDefault="00412297" w:rsidP="00412297">
      <w:pPr>
        <w:pStyle w:val="crest"/>
        <w:shd w:val="clear" w:color="auto" w:fill="FFFFFF"/>
        <w:spacing w:before="0" w:beforeAutospacing="0" w:after="120" w:afterAutospacing="0" w:line="360" w:lineRule="atLeast"/>
        <w:jc w:val="center"/>
        <w:rPr>
          <w:rFonts w:ascii="Arial" w:hAnsi="Arial" w:cs="Arial"/>
          <w:color w:val="1E1E1E"/>
        </w:rPr>
      </w:pPr>
      <w:r>
        <w:rPr>
          <w:rFonts w:ascii="Arial" w:hAnsi="Arial" w:cs="Arial"/>
          <w:noProof/>
          <w:color w:val="0A64D7"/>
        </w:rPr>
        <w:lastRenderedPageBreak/>
        <w:drawing>
          <wp:inline distT="0" distB="0" distL="0" distR="0" wp14:anchorId="754B51D5" wp14:editId="77389241">
            <wp:extent cx="1524000" cy="1323975"/>
            <wp:effectExtent l="0" t="0" r="0" b="9525"/>
            <wp:docPr id="3" name="Picture 3" descr="Legislation Crest">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egislation Crest">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0" cy="1323975"/>
                    </a:xfrm>
                    <a:prstGeom prst="rect">
                      <a:avLst/>
                    </a:prstGeom>
                    <a:noFill/>
                    <a:ln>
                      <a:noFill/>
                    </a:ln>
                  </pic:spPr>
                </pic:pic>
              </a:graphicData>
            </a:graphic>
          </wp:inline>
        </w:drawing>
      </w:r>
    </w:p>
    <w:p w14:paraId="45D34EA2" w14:textId="77777777" w:rsidR="00412297" w:rsidRDefault="00412297" w:rsidP="00412297">
      <w:pPr>
        <w:pStyle w:val="Heading1"/>
        <w:shd w:val="clear" w:color="auto" w:fill="FFFFFF"/>
        <w:spacing w:before="240" w:beforeAutospacing="0" w:after="240" w:afterAutospacing="0" w:line="288" w:lineRule="atLeast"/>
        <w:jc w:val="center"/>
        <w:rPr>
          <w:rFonts w:ascii="Arial" w:hAnsi="Arial" w:cs="Arial"/>
          <w:color w:val="000000"/>
          <w:sz w:val="36"/>
          <w:szCs w:val="36"/>
        </w:rPr>
      </w:pPr>
      <w:r>
        <w:rPr>
          <w:rFonts w:ascii="Arial" w:hAnsi="Arial" w:cs="Arial"/>
          <w:color w:val="000000"/>
          <w:sz w:val="36"/>
          <w:szCs w:val="36"/>
        </w:rPr>
        <w:t>Treason Act 1842</w:t>
      </w:r>
    </w:p>
    <w:p w14:paraId="567C7EB5" w14:textId="77777777" w:rsidR="00412297" w:rsidRDefault="00412297" w:rsidP="00412297">
      <w:pPr>
        <w:pStyle w:val="Heading1"/>
        <w:shd w:val="clear" w:color="auto" w:fill="FFFFFF"/>
        <w:spacing w:before="0" w:beforeAutospacing="0" w:after="240" w:afterAutospacing="0" w:line="288" w:lineRule="atLeast"/>
        <w:jc w:val="center"/>
        <w:rPr>
          <w:rFonts w:ascii="Arial" w:hAnsi="Arial" w:cs="Arial"/>
          <w:color w:val="000000"/>
          <w:sz w:val="24"/>
          <w:szCs w:val="24"/>
        </w:rPr>
      </w:pPr>
      <w:r>
        <w:rPr>
          <w:rFonts w:ascii="Arial" w:hAnsi="Arial" w:cs="Arial"/>
          <w:color w:val="000000"/>
          <w:sz w:val="24"/>
          <w:szCs w:val="24"/>
        </w:rPr>
        <w:t>1842 CHAPTER 51</w:t>
      </w:r>
    </w:p>
    <w:p w14:paraId="0115C824" w14:textId="77777777" w:rsidR="00412297" w:rsidRDefault="00412297" w:rsidP="00412297">
      <w:pPr>
        <w:pStyle w:val="leglongtitle"/>
        <w:shd w:val="clear" w:color="auto" w:fill="FFFFFF"/>
        <w:spacing w:before="240" w:beforeAutospacing="0" w:after="0" w:afterAutospacing="0" w:line="360" w:lineRule="atLeast"/>
        <w:jc w:val="both"/>
        <w:rPr>
          <w:rFonts w:ascii="Arial" w:hAnsi="Arial" w:cs="Arial"/>
          <w:color w:val="1E1E1E"/>
          <w:sz w:val="19"/>
          <w:szCs w:val="19"/>
        </w:rPr>
      </w:pPr>
      <w:r>
        <w:rPr>
          <w:rFonts w:ascii="Arial" w:hAnsi="Arial" w:cs="Arial"/>
          <w:color w:val="1E1E1E"/>
          <w:sz w:val="19"/>
          <w:szCs w:val="19"/>
        </w:rPr>
        <w:t>An Act for providing for the further Security and Protection of Her Majesty's Person.</w:t>
      </w:r>
    </w:p>
    <w:p w14:paraId="3BABAD26" w14:textId="77777777" w:rsidR="00412297" w:rsidRDefault="00412297" w:rsidP="00412297">
      <w:pPr>
        <w:pStyle w:val="legdateofenactment"/>
        <w:shd w:val="clear" w:color="auto" w:fill="FFFFFF"/>
        <w:spacing w:before="0" w:beforeAutospacing="0" w:after="120" w:afterAutospacing="0" w:line="360" w:lineRule="atLeast"/>
        <w:jc w:val="right"/>
        <w:rPr>
          <w:rFonts w:ascii="Arial" w:hAnsi="Arial" w:cs="Arial"/>
          <w:color w:val="1E1E1E"/>
        </w:rPr>
      </w:pPr>
      <w:r>
        <w:rPr>
          <w:rFonts w:ascii="Arial" w:hAnsi="Arial" w:cs="Arial"/>
          <w:color w:val="1E1E1E"/>
        </w:rPr>
        <w:t>[16th </w:t>
      </w:r>
      <w:r>
        <w:rPr>
          <w:rStyle w:val="Emphasis"/>
          <w:rFonts w:ascii="Arial" w:hAnsi="Arial" w:cs="Arial"/>
          <w:color w:val="1E1E1E"/>
        </w:rPr>
        <w:t>July</w:t>
      </w:r>
      <w:r>
        <w:rPr>
          <w:rFonts w:ascii="Arial" w:hAnsi="Arial" w:cs="Arial"/>
          <w:color w:val="1E1E1E"/>
        </w:rPr>
        <w:t> 1842]</w:t>
      </w:r>
    </w:p>
    <w:p w14:paraId="441E5AC1" w14:textId="77777777" w:rsidR="00412297" w:rsidRDefault="00412297" w:rsidP="00412297">
      <w:pPr>
        <w:pStyle w:val="legtext"/>
        <w:shd w:val="clear" w:color="auto" w:fill="FFFFFF"/>
        <w:spacing w:before="0" w:beforeAutospacing="0" w:after="120" w:afterAutospacing="0" w:line="360" w:lineRule="atLeast"/>
        <w:jc w:val="both"/>
        <w:rPr>
          <w:rFonts w:ascii="Arial" w:hAnsi="Arial" w:cs="Arial"/>
          <w:color w:val="1E1E1E"/>
          <w:sz w:val="19"/>
          <w:szCs w:val="19"/>
        </w:rPr>
      </w:pPr>
      <w:r>
        <w:rPr>
          <w:rStyle w:val="legsmallcaps"/>
          <w:rFonts w:ascii="Arial" w:hAnsi="Arial" w:cs="Arial"/>
          <w:smallCaps/>
          <w:color w:val="1E1E1E"/>
          <w:sz w:val="19"/>
          <w:szCs w:val="19"/>
        </w:rPr>
        <w:t>WHEREAS</w:t>
      </w:r>
      <w:r>
        <w:rPr>
          <w:rFonts w:ascii="Arial" w:hAnsi="Arial" w:cs="Arial"/>
          <w:color w:val="1E1E1E"/>
          <w:sz w:val="19"/>
          <w:szCs w:val="19"/>
        </w:rPr>
        <w:t> it is expedient that the Provisions contained in the </w:t>
      </w:r>
      <w:r>
        <w:rPr>
          <w:rStyle w:val="legmarginnoteref"/>
          <w:rFonts w:ascii="Arial" w:hAnsi="Arial" w:cs="Arial"/>
          <w:color w:val="1E1E1E"/>
          <w:sz w:val="19"/>
          <w:szCs w:val="19"/>
        </w:rPr>
        <w:t>[39 &amp; 40 G. 3. c. 93.] </w:t>
      </w:r>
      <w:r>
        <w:rPr>
          <w:rFonts w:ascii="Arial" w:hAnsi="Arial" w:cs="Arial"/>
          <w:color w:val="1E1E1E"/>
          <w:sz w:val="19"/>
          <w:szCs w:val="19"/>
        </w:rPr>
        <w:t>Act of the Thirty-ninth and Fortieth Years of His late Majesty King </w:t>
      </w:r>
      <w:r>
        <w:rPr>
          <w:rStyle w:val="Emphasis"/>
          <w:rFonts w:ascii="Arial" w:hAnsi="Arial" w:cs="Arial"/>
          <w:color w:val="1E1E1E"/>
          <w:sz w:val="19"/>
          <w:szCs w:val="19"/>
        </w:rPr>
        <w:t>George</w:t>
      </w:r>
      <w:r>
        <w:rPr>
          <w:rFonts w:ascii="Arial" w:hAnsi="Arial" w:cs="Arial"/>
          <w:color w:val="1E1E1E"/>
          <w:sz w:val="19"/>
          <w:szCs w:val="19"/>
        </w:rPr>
        <w:t> the Third, intituled </w:t>
      </w:r>
      <w:r>
        <w:rPr>
          <w:rStyle w:val="Emphasis"/>
          <w:rFonts w:ascii="Arial" w:hAnsi="Arial" w:cs="Arial"/>
          <w:color w:val="1E1E1E"/>
          <w:sz w:val="19"/>
          <w:szCs w:val="19"/>
        </w:rPr>
        <w:t>An Act to regulate Trials for High Treason and Misprision of Treason in certain Cases</w:t>
      </w:r>
      <w:r>
        <w:rPr>
          <w:rFonts w:ascii="Arial" w:hAnsi="Arial" w:cs="Arial"/>
          <w:color w:val="1E1E1E"/>
          <w:sz w:val="19"/>
          <w:szCs w:val="19"/>
        </w:rPr>
        <w:t>, should be extended to all Cases of High Treason, in compassing or imagining the Death or Destruction of the Queen, or in compassing or imagining any bodily Harm tending to the Death or Destruction, maiming or wounding, of the Queen, and of Misprision of such Treason, when the overt Act or overt Acts of such Treason alleged in the Indictment shall be any Attempt to injure in any Manner whatsoever the Person of the Queen : And whereas it is also expedient to make further Provision by Law for the Protection and Security of the Person of the Sovereign of these Realms :</w:t>
      </w:r>
    </w:p>
    <w:p w14:paraId="5B8C7C26" w14:textId="77777777" w:rsidR="00412297" w:rsidRDefault="00412297" w:rsidP="00412297">
      <w:pPr>
        <w:pStyle w:val="legtext"/>
        <w:shd w:val="clear" w:color="auto" w:fill="FFFFFF"/>
        <w:spacing w:before="0" w:beforeAutospacing="0" w:after="120" w:afterAutospacing="0" w:line="360" w:lineRule="atLeast"/>
        <w:jc w:val="both"/>
        <w:rPr>
          <w:rFonts w:ascii="Arial" w:hAnsi="Arial" w:cs="Arial"/>
          <w:color w:val="1E1E1E"/>
          <w:sz w:val="19"/>
          <w:szCs w:val="19"/>
        </w:rPr>
      </w:pPr>
      <w:r>
        <w:rPr>
          <w:rFonts w:ascii="Arial" w:hAnsi="Arial" w:cs="Arial"/>
          <w:color w:val="1E1E1E"/>
          <w:sz w:val="19"/>
          <w:szCs w:val="19"/>
        </w:rPr>
        <w:t>Be it enacted by the Queen's most Excellent Majesty, by and with the Advice and Consent of the Lords Spiritual and Temporal, and Commons, in this present Parliament assembled, and by the Authority of the same,</w:t>
      </w:r>
    </w:p>
    <w:p w14:paraId="37839612" w14:textId="77777777" w:rsidR="00412297" w:rsidRDefault="00412297" w:rsidP="00412297">
      <w:pPr>
        <w:pStyle w:val="Heading2"/>
        <w:spacing w:before="0" w:beforeAutospacing="0" w:after="120" w:afterAutospacing="0" w:line="288" w:lineRule="atLeast"/>
        <w:rPr>
          <w:rFonts w:ascii="Roboto" w:hAnsi="Roboto"/>
          <w:b w:val="0"/>
          <w:bCs w:val="0"/>
          <w:color w:val="000000"/>
          <w:sz w:val="19"/>
          <w:szCs w:val="19"/>
        </w:rPr>
      </w:pPr>
      <w:r>
        <w:rPr>
          <w:rStyle w:val="legds"/>
          <w:rFonts w:ascii="Arial" w:hAnsi="Arial" w:cs="Arial"/>
          <w:color w:val="000000"/>
          <w:sz w:val="19"/>
          <w:szCs w:val="19"/>
        </w:rPr>
        <w:t>Proceedings against Persons guilty of Attempt against the Person of the Sovereign.</w:t>
      </w:r>
    </w:p>
    <w:p w14:paraId="4E210954" w14:textId="77777777" w:rsidR="00412297" w:rsidRDefault="00412297" w:rsidP="00412297">
      <w:pPr>
        <w:pStyle w:val="legtext"/>
        <w:shd w:val="clear" w:color="auto" w:fill="FFFFFF"/>
        <w:spacing w:before="0" w:beforeAutospacing="0" w:after="120" w:afterAutospacing="0" w:line="360" w:lineRule="atLeast"/>
        <w:ind w:left="1408"/>
        <w:jc w:val="both"/>
        <w:rPr>
          <w:rFonts w:ascii="Arial" w:hAnsi="Arial" w:cs="Arial"/>
          <w:color w:val="1E1E1E"/>
        </w:rPr>
      </w:pPr>
      <w:r>
        <w:rPr>
          <w:rFonts w:ascii="Arial" w:hAnsi="Arial" w:cs="Arial"/>
          <w:color w:val="1E1E1E"/>
        </w:rPr>
        <w:t>That from and after the passing of this Act, in all Cases of High Treason, in compassing or imagining any bodily Harm tending to the Death or Destruction, maiming or wounding, of the Queen, and in all Cases of Misprision of any such Treason, where the overt Act or overt Acts of such Treason alleged in the Indictment shall be any Attempt to injure in any Manner whatsoever the Person of the Queen, the Person or Persons charged with such Offence shall and may be indicted, arraigned, tried, and attainted in the same Manner, and according to the same Course and Order of Trial, in every respect, and upon the like Evidence, as if such Persons stood charged with Murder; and none of the Provisions contained in the several Acts of the Seventh Year of King </w:t>
      </w:r>
      <w:r>
        <w:rPr>
          <w:rStyle w:val="Emphasis"/>
          <w:rFonts w:ascii="Arial" w:hAnsi="Arial" w:cs="Arial"/>
          <w:color w:val="1E1E1E"/>
        </w:rPr>
        <w:t>William</w:t>
      </w:r>
      <w:r>
        <w:rPr>
          <w:rFonts w:ascii="Arial" w:hAnsi="Arial" w:cs="Arial"/>
          <w:color w:val="1E1E1E"/>
        </w:rPr>
        <w:t> the Third, and the Seventh Year of Queen Anne, and the Sixth Year of King </w:t>
      </w:r>
      <w:r>
        <w:rPr>
          <w:rStyle w:val="Emphasis"/>
          <w:rFonts w:ascii="Arial" w:hAnsi="Arial" w:cs="Arial"/>
          <w:color w:val="1E1E1E"/>
        </w:rPr>
        <w:t>George</w:t>
      </w:r>
      <w:r>
        <w:rPr>
          <w:rFonts w:ascii="Arial" w:hAnsi="Arial" w:cs="Arial"/>
          <w:color w:val="1E1E1E"/>
        </w:rPr>
        <w:t xml:space="preserve"> the Fourth, respectively, touching Trials in Cases of </w:t>
      </w:r>
      <w:r>
        <w:rPr>
          <w:rFonts w:ascii="Arial" w:hAnsi="Arial" w:cs="Arial"/>
          <w:color w:val="1E1E1E"/>
        </w:rPr>
        <w:lastRenderedPageBreak/>
        <w:t>Treason and Misprision of Treason respectively, shall extend to any Indictment for High Treason in compassing or imagining the Death or Destruction of the Queen, or to any Indictment for High Treason in compassing and imagining any bodily Harm tending to the Death or Destruction, maiming or wounding, of the Queen, or for Misprision of such Treason, where the overt Act or Acts of such Treason alleged in the Indictment shall be such as aforesaid; but, upon Conviction upon such Indictment, Judgment shall be nevertheless given and Execution done as in other Cases of High Treason ; any Law, Statute, or Usage to the contrary notwithstanding.</w:t>
      </w:r>
    </w:p>
    <w:p w14:paraId="646FBEB8" w14:textId="13440C8A" w:rsidR="00412297" w:rsidRDefault="00412297" w:rsidP="00412297">
      <w:pPr>
        <w:pStyle w:val="Heading2"/>
        <w:spacing w:before="0" w:beforeAutospacing="0" w:after="120" w:afterAutospacing="0" w:line="288" w:lineRule="atLeast"/>
        <w:rPr>
          <w:rFonts w:ascii="Roboto" w:hAnsi="Roboto"/>
          <w:b w:val="0"/>
          <w:bCs w:val="0"/>
          <w:color w:val="000000"/>
          <w:sz w:val="19"/>
          <w:szCs w:val="19"/>
        </w:rPr>
      </w:pPr>
      <w:r>
        <w:rPr>
          <w:rStyle w:val="legds"/>
          <w:rFonts w:ascii="Arial" w:hAnsi="Arial" w:cs="Arial"/>
          <w:color w:val="000000"/>
          <w:sz w:val="19"/>
          <w:szCs w:val="19"/>
        </w:rPr>
        <w:t>II</w:t>
      </w:r>
      <w:r>
        <w:rPr>
          <w:rStyle w:val="legds"/>
          <w:rFonts w:ascii="Arial" w:hAnsi="Arial" w:cs="Arial"/>
          <w:color w:val="000000"/>
          <w:sz w:val="19"/>
          <w:szCs w:val="19"/>
        </w:rPr>
        <w:t xml:space="preserve"> </w:t>
      </w:r>
      <w:r>
        <w:rPr>
          <w:rStyle w:val="legds"/>
          <w:rFonts w:ascii="Arial" w:hAnsi="Arial" w:cs="Arial"/>
          <w:color w:val="000000"/>
          <w:sz w:val="19"/>
          <w:szCs w:val="19"/>
        </w:rPr>
        <w:t xml:space="preserve">Punishment for discharging or aiming </w:t>
      </w:r>
      <w:proofErr w:type="gramStart"/>
      <w:r>
        <w:rPr>
          <w:rStyle w:val="legds"/>
          <w:rFonts w:ascii="Arial" w:hAnsi="Arial" w:cs="Arial"/>
          <w:color w:val="000000"/>
          <w:sz w:val="19"/>
          <w:szCs w:val="19"/>
        </w:rPr>
        <w:t>Fire-Arms</w:t>
      </w:r>
      <w:proofErr w:type="gramEnd"/>
      <w:r>
        <w:rPr>
          <w:rStyle w:val="legds"/>
          <w:rFonts w:ascii="Arial" w:hAnsi="Arial" w:cs="Arial"/>
          <w:color w:val="000000"/>
          <w:sz w:val="19"/>
          <w:szCs w:val="19"/>
        </w:rPr>
        <w:t>, or throwing or using any offensive Matter or Weapon, with Intent to injure or alarm Her Majesty.</w:t>
      </w:r>
    </w:p>
    <w:p w14:paraId="2DF48591" w14:textId="77777777" w:rsidR="00412297" w:rsidRDefault="00412297" w:rsidP="00412297">
      <w:pPr>
        <w:pStyle w:val="legrhs"/>
        <w:shd w:val="clear" w:color="auto" w:fill="FFFFFF"/>
        <w:spacing w:before="0" w:beforeAutospacing="0" w:after="120" w:afterAutospacing="0" w:line="360" w:lineRule="atLeast"/>
        <w:jc w:val="both"/>
        <w:rPr>
          <w:rFonts w:ascii="Arial" w:hAnsi="Arial" w:cs="Arial"/>
          <w:color w:val="1E1E1E"/>
        </w:rPr>
      </w:pPr>
      <w:r>
        <w:rPr>
          <w:rFonts w:ascii="Arial" w:hAnsi="Arial" w:cs="Arial"/>
          <w:color w:val="1E1E1E"/>
        </w:rPr>
        <w:t xml:space="preserve">And be it enacted, That from and after the passing of this Act, if any Person shall wilfully discharge or attempt to discharge, or point, aim, or present at or near to the Person of the Queen, any Gun, Pistol, or any other Description of Fire-arms or of other Arms whatsoever, whether the same shall or shall not contain any explosive or destructive Material, or shall discharge or cause to be discharged, or attempt to discharge or cause to be discharged, any explosive Substance or Material near to the Person of the Queen, or if any Person shall wilfully strike or strike at, or attempt to strike or to strike at, the Person of the Queen, with any offensive Weapon, or in any other Manner whatsoever, or if any Person shall wilfully throw or attempt to throw any Substance, Matter, or Thing whatsoever at or upon the Person of the Queen, with Intent in any of the Cases aforesaid to injure the Person of the Queen, or with Intent in any of the Cases aforesaid to break the public Peace, or whereby the public Peace may be endangered, or with Intent in any of the Cases aforesaid to alarm Her Majesty, or if any Person shall, near to the Person of the Queen, wilfully produce or have any Gun, Pistol, or any other Description of Fire-arms or other Arms whatsoever, or any explosive, destructive, or dangerous Matter or Thing whatsoever, with Intent to use the same to injure the Person of the Queen, or to alarm Her Majesty, every such Person so offending shall be guilty of a High </w:t>
      </w:r>
      <w:proofErr w:type="spellStart"/>
      <w:r>
        <w:rPr>
          <w:rFonts w:ascii="Arial" w:hAnsi="Arial" w:cs="Arial"/>
          <w:color w:val="1E1E1E"/>
        </w:rPr>
        <w:t>Misdemeanor</w:t>
      </w:r>
      <w:proofErr w:type="spellEnd"/>
      <w:r>
        <w:rPr>
          <w:rFonts w:ascii="Arial" w:hAnsi="Arial" w:cs="Arial"/>
          <w:color w:val="1E1E1E"/>
        </w:rPr>
        <w:t>, and, being convicted thereof in due Course of Law, shall be liable, at the Discretion of the Court before which the said Person shall be so convicted, to be transported beyond the Seas for the Term of Seven Years, or to be imprisoned, with or without hard Labour, for any Period not exceeding Three Years, and during the Period of such Imprisonment to be publicly or privately whipped, as often and in such Manner and Form as the said Court shall order and direct, not exceeding Thrice.</w:t>
      </w:r>
    </w:p>
    <w:p w14:paraId="18B4D4A9" w14:textId="34A1B6DE" w:rsidR="00412297" w:rsidRDefault="00412297" w:rsidP="00412297">
      <w:pPr>
        <w:pStyle w:val="Heading2"/>
        <w:spacing w:before="0" w:beforeAutospacing="0" w:after="120" w:afterAutospacing="0" w:line="288" w:lineRule="atLeast"/>
        <w:rPr>
          <w:rFonts w:ascii="Roboto" w:hAnsi="Roboto"/>
          <w:b w:val="0"/>
          <w:bCs w:val="0"/>
          <w:color w:val="000000"/>
          <w:sz w:val="19"/>
          <w:szCs w:val="19"/>
        </w:rPr>
      </w:pPr>
      <w:r>
        <w:rPr>
          <w:rStyle w:val="legds"/>
          <w:rFonts w:ascii="Arial" w:hAnsi="Arial" w:cs="Arial"/>
          <w:color w:val="000000"/>
          <w:sz w:val="19"/>
          <w:szCs w:val="19"/>
        </w:rPr>
        <w:t>III</w:t>
      </w:r>
      <w:r>
        <w:rPr>
          <w:rStyle w:val="legds"/>
          <w:rFonts w:ascii="Arial" w:hAnsi="Arial" w:cs="Arial"/>
          <w:color w:val="000000"/>
          <w:sz w:val="19"/>
          <w:szCs w:val="19"/>
        </w:rPr>
        <w:t xml:space="preserve"> </w:t>
      </w:r>
      <w:r>
        <w:rPr>
          <w:rStyle w:val="legds"/>
          <w:rFonts w:ascii="Arial" w:hAnsi="Arial" w:cs="Arial"/>
          <w:color w:val="000000"/>
          <w:sz w:val="19"/>
          <w:szCs w:val="19"/>
        </w:rPr>
        <w:t>Not to alter the Punishment for High Treason.</w:t>
      </w:r>
    </w:p>
    <w:p w14:paraId="6C4F07B9" w14:textId="77777777" w:rsidR="00412297" w:rsidRDefault="00412297" w:rsidP="00412297">
      <w:pPr>
        <w:pStyle w:val="legrhs"/>
        <w:shd w:val="clear" w:color="auto" w:fill="FFFFFF"/>
        <w:spacing w:before="0" w:beforeAutospacing="0" w:after="120" w:afterAutospacing="0" w:line="360" w:lineRule="atLeast"/>
        <w:jc w:val="both"/>
        <w:rPr>
          <w:rFonts w:ascii="Arial" w:hAnsi="Arial" w:cs="Arial"/>
          <w:color w:val="1E1E1E"/>
        </w:rPr>
      </w:pPr>
      <w:r>
        <w:rPr>
          <w:rFonts w:ascii="Arial" w:hAnsi="Arial" w:cs="Arial"/>
          <w:color w:val="1E1E1E"/>
        </w:rPr>
        <w:lastRenderedPageBreak/>
        <w:t xml:space="preserve">Provided always, and be it enacted, </w:t>
      </w:r>
      <w:proofErr w:type="gramStart"/>
      <w:r>
        <w:rPr>
          <w:rFonts w:ascii="Arial" w:hAnsi="Arial" w:cs="Arial"/>
          <w:color w:val="1E1E1E"/>
        </w:rPr>
        <w:t>That</w:t>
      </w:r>
      <w:proofErr w:type="gramEnd"/>
      <w:r>
        <w:rPr>
          <w:rFonts w:ascii="Arial" w:hAnsi="Arial" w:cs="Arial"/>
          <w:color w:val="1E1E1E"/>
        </w:rPr>
        <w:t xml:space="preserve"> nothing herein contained shall be deemed to alter in any respect the Punishment which by Law may now be inflicted upon Persons guilty of High Treason or Misprision of Treason.</w:t>
      </w:r>
    </w:p>
    <w:p w14:paraId="0F12878D" w14:textId="77777777" w:rsidR="00412297" w:rsidRDefault="00412297"/>
    <w:sectPr w:rsidR="004122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297"/>
    <w:rsid w:val="00412297"/>
    <w:rsid w:val="008F3C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621877"/>
  <w15:chartTrackingRefBased/>
  <w15:docId w15:val="{D5AE46A3-279D-4C28-A658-37DFA8523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122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4122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2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412297"/>
    <w:rPr>
      <w:rFonts w:ascii="Times New Roman" w:eastAsia="Times New Roman" w:hAnsi="Times New Roman" w:cs="Times New Roman"/>
      <w:b/>
      <w:bCs/>
      <w:sz w:val="36"/>
      <w:szCs w:val="36"/>
      <w:lang w:eastAsia="en-GB"/>
    </w:rPr>
  </w:style>
  <w:style w:type="paragraph" w:customStyle="1" w:styleId="crest">
    <w:name w:val="crest"/>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12297"/>
    <w:rPr>
      <w:color w:val="0000FF"/>
      <w:u w:val="single"/>
    </w:rPr>
  </w:style>
  <w:style w:type="paragraph" w:customStyle="1" w:styleId="leglongtitle">
    <w:name w:val="leglongtitle"/>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annotationsgroupheading">
    <w:name w:val="legannotationsgroupheading"/>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legcommentarypara">
    <w:name w:val="legcommentarypara"/>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commentarytype">
    <w:name w:val="legcommentarytype"/>
    <w:basedOn w:val="DefaultParagraphFont"/>
    <w:rsid w:val="00412297"/>
  </w:style>
  <w:style w:type="character" w:customStyle="1" w:styleId="legcommentarytext">
    <w:name w:val="legcommentarytext"/>
    <w:basedOn w:val="DefaultParagraphFont"/>
    <w:rsid w:val="00412297"/>
  </w:style>
  <w:style w:type="character" w:styleId="Strong">
    <w:name w:val="Strong"/>
    <w:basedOn w:val="DefaultParagraphFont"/>
    <w:uiPriority w:val="22"/>
    <w:qFormat/>
    <w:rsid w:val="00412297"/>
    <w:rPr>
      <w:b/>
      <w:bCs/>
    </w:rPr>
  </w:style>
  <w:style w:type="paragraph" w:customStyle="1" w:styleId="legtext">
    <w:name w:val="legtext"/>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ds">
    <w:name w:val="legds"/>
    <w:basedOn w:val="DefaultParagraphFont"/>
    <w:rsid w:val="00412297"/>
  </w:style>
  <w:style w:type="paragraph" w:customStyle="1" w:styleId="legrhs">
    <w:name w:val="legrhs"/>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changedelimiter">
    <w:name w:val="legchangedelimiter"/>
    <w:basedOn w:val="DefaultParagraphFont"/>
    <w:rsid w:val="00412297"/>
  </w:style>
  <w:style w:type="character" w:customStyle="1" w:styleId="legaddition">
    <w:name w:val="legaddition"/>
    <w:basedOn w:val="DefaultParagraphFont"/>
    <w:rsid w:val="00412297"/>
  </w:style>
  <w:style w:type="character" w:styleId="Emphasis">
    <w:name w:val="Emphasis"/>
    <w:basedOn w:val="DefaultParagraphFont"/>
    <w:uiPriority w:val="20"/>
    <w:qFormat/>
    <w:rsid w:val="00412297"/>
    <w:rPr>
      <w:i/>
      <w:iCs/>
    </w:rPr>
  </w:style>
  <w:style w:type="paragraph" w:customStyle="1" w:styleId="legdateofenactment">
    <w:name w:val="legdateofenactment"/>
    <w:basedOn w:val="Normal"/>
    <w:rsid w:val="0041229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egsmallcaps">
    <w:name w:val="legsmallcaps"/>
    <w:basedOn w:val="DefaultParagraphFont"/>
    <w:rsid w:val="00412297"/>
  </w:style>
  <w:style w:type="character" w:customStyle="1" w:styleId="legmarginnoteref">
    <w:name w:val="legmarginnoteref"/>
    <w:basedOn w:val="DefaultParagraphFont"/>
    <w:rsid w:val="004122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371982">
      <w:bodyDiv w:val="1"/>
      <w:marLeft w:val="0"/>
      <w:marRight w:val="0"/>
      <w:marTop w:val="0"/>
      <w:marBottom w:val="0"/>
      <w:divBdr>
        <w:top w:val="none" w:sz="0" w:space="0" w:color="auto"/>
        <w:left w:val="none" w:sz="0" w:space="0" w:color="auto"/>
        <w:bottom w:val="none" w:sz="0" w:space="0" w:color="auto"/>
        <w:right w:val="none" w:sz="0" w:space="0" w:color="auto"/>
      </w:divBdr>
      <w:divsChild>
        <w:div w:id="1959869812">
          <w:marLeft w:val="0"/>
          <w:marRight w:val="0"/>
          <w:marTop w:val="240"/>
          <w:marBottom w:val="0"/>
          <w:divBdr>
            <w:top w:val="none" w:sz="0" w:space="0" w:color="auto"/>
            <w:left w:val="none" w:sz="0" w:space="0" w:color="auto"/>
            <w:bottom w:val="none" w:sz="0" w:space="0" w:color="auto"/>
            <w:right w:val="none" w:sz="0" w:space="0" w:color="auto"/>
          </w:divBdr>
        </w:div>
        <w:div w:id="748499428">
          <w:marLeft w:val="0"/>
          <w:marRight w:val="0"/>
          <w:marTop w:val="240"/>
          <w:marBottom w:val="480"/>
          <w:divBdr>
            <w:top w:val="none" w:sz="0" w:space="0" w:color="auto"/>
            <w:left w:val="none" w:sz="0" w:space="0" w:color="auto"/>
            <w:bottom w:val="none" w:sz="0" w:space="0" w:color="auto"/>
            <w:right w:val="none" w:sz="0" w:space="0" w:color="auto"/>
          </w:divBdr>
        </w:div>
      </w:divsChild>
    </w:div>
    <w:div w:id="451947662">
      <w:bodyDiv w:val="1"/>
      <w:marLeft w:val="0"/>
      <w:marRight w:val="0"/>
      <w:marTop w:val="0"/>
      <w:marBottom w:val="0"/>
      <w:divBdr>
        <w:top w:val="none" w:sz="0" w:space="0" w:color="auto"/>
        <w:left w:val="none" w:sz="0" w:space="0" w:color="auto"/>
        <w:bottom w:val="none" w:sz="0" w:space="0" w:color="auto"/>
        <w:right w:val="none" w:sz="0" w:space="0" w:color="auto"/>
      </w:divBdr>
      <w:divsChild>
        <w:div w:id="1457287606">
          <w:marLeft w:val="0"/>
          <w:marRight w:val="0"/>
          <w:marTop w:val="240"/>
          <w:marBottom w:val="240"/>
          <w:divBdr>
            <w:top w:val="single" w:sz="6" w:space="0" w:color="E6E6E6"/>
            <w:left w:val="single" w:sz="6" w:space="0" w:color="E6E6E6"/>
            <w:bottom w:val="single" w:sz="6" w:space="0" w:color="E6E6E6"/>
            <w:right w:val="single" w:sz="6" w:space="0" w:color="E6E6E6"/>
          </w:divBdr>
          <w:divsChild>
            <w:div w:id="1556695272">
              <w:marLeft w:val="240"/>
              <w:marRight w:val="0"/>
              <w:marTop w:val="150"/>
              <w:marBottom w:val="0"/>
              <w:divBdr>
                <w:top w:val="none" w:sz="0" w:space="0" w:color="auto"/>
                <w:left w:val="none" w:sz="0" w:space="0" w:color="auto"/>
                <w:bottom w:val="none" w:sz="0" w:space="0" w:color="auto"/>
                <w:right w:val="none" w:sz="0" w:space="0" w:color="auto"/>
              </w:divBdr>
            </w:div>
            <w:div w:id="282150643">
              <w:marLeft w:val="240"/>
              <w:marRight w:val="0"/>
              <w:marTop w:val="150"/>
              <w:marBottom w:val="0"/>
              <w:divBdr>
                <w:top w:val="none" w:sz="0" w:space="0" w:color="auto"/>
                <w:left w:val="none" w:sz="0" w:space="0" w:color="auto"/>
                <w:bottom w:val="none" w:sz="0" w:space="0" w:color="auto"/>
                <w:right w:val="none" w:sz="0" w:space="0" w:color="auto"/>
              </w:divBdr>
            </w:div>
            <w:div w:id="1659767561">
              <w:marLeft w:val="240"/>
              <w:marRight w:val="0"/>
              <w:marTop w:val="0"/>
              <w:marBottom w:val="0"/>
              <w:divBdr>
                <w:top w:val="none" w:sz="0" w:space="0" w:color="auto"/>
                <w:left w:val="none" w:sz="0" w:space="0" w:color="auto"/>
                <w:bottom w:val="none" w:sz="0" w:space="0" w:color="auto"/>
                <w:right w:val="none" w:sz="0" w:space="0" w:color="auto"/>
              </w:divBdr>
            </w:div>
          </w:divsChild>
        </w:div>
        <w:div w:id="2084327800">
          <w:marLeft w:val="0"/>
          <w:marRight w:val="0"/>
          <w:marTop w:val="0"/>
          <w:marBottom w:val="0"/>
          <w:divBdr>
            <w:top w:val="none" w:sz="0" w:space="0" w:color="auto"/>
            <w:left w:val="none" w:sz="0" w:space="0" w:color="auto"/>
            <w:bottom w:val="none" w:sz="0" w:space="0" w:color="auto"/>
            <w:right w:val="none" w:sz="0" w:space="0" w:color="auto"/>
          </w:divBdr>
        </w:div>
        <w:div w:id="1371026276">
          <w:marLeft w:val="0"/>
          <w:marRight w:val="0"/>
          <w:marTop w:val="240"/>
          <w:marBottom w:val="240"/>
          <w:divBdr>
            <w:top w:val="single" w:sz="6" w:space="0" w:color="E6E6E6"/>
            <w:left w:val="single" w:sz="6" w:space="0" w:color="E6E6E6"/>
            <w:bottom w:val="single" w:sz="6" w:space="0" w:color="E6E6E6"/>
            <w:right w:val="single" w:sz="6" w:space="0" w:color="E6E6E6"/>
          </w:divBdr>
          <w:divsChild>
            <w:div w:id="1996955996">
              <w:marLeft w:val="240"/>
              <w:marRight w:val="0"/>
              <w:marTop w:val="150"/>
              <w:marBottom w:val="0"/>
              <w:divBdr>
                <w:top w:val="none" w:sz="0" w:space="0" w:color="auto"/>
                <w:left w:val="none" w:sz="0" w:space="0" w:color="auto"/>
                <w:bottom w:val="none" w:sz="0" w:space="0" w:color="auto"/>
                <w:right w:val="none" w:sz="0" w:space="0" w:color="auto"/>
              </w:divBdr>
            </w:div>
            <w:div w:id="1476875307">
              <w:marLeft w:val="240"/>
              <w:marRight w:val="0"/>
              <w:marTop w:val="0"/>
              <w:marBottom w:val="0"/>
              <w:divBdr>
                <w:top w:val="none" w:sz="0" w:space="0" w:color="auto"/>
                <w:left w:val="none" w:sz="0" w:space="0" w:color="auto"/>
                <w:bottom w:val="none" w:sz="0" w:space="0" w:color="auto"/>
                <w:right w:val="none" w:sz="0" w:space="0" w:color="auto"/>
              </w:divBdr>
            </w:div>
            <w:div w:id="411119653">
              <w:marLeft w:val="240"/>
              <w:marRight w:val="0"/>
              <w:marTop w:val="0"/>
              <w:marBottom w:val="0"/>
              <w:divBdr>
                <w:top w:val="none" w:sz="0" w:space="0" w:color="auto"/>
                <w:left w:val="none" w:sz="0" w:space="0" w:color="auto"/>
                <w:bottom w:val="none" w:sz="0" w:space="0" w:color="auto"/>
                <w:right w:val="none" w:sz="0" w:space="0" w:color="auto"/>
              </w:divBdr>
            </w:div>
            <w:div w:id="294919574">
              <w:marLeft w:val="240"/>
              <w:marRight w:val="0"/>
              <w:marTop w:val="0"/>
              <w:marBottom w:val="0"/>
              <w:divBdr>
                <w:top w:val="none" w:sz="0" w:space="0" w:color="auto"/>
                <w:left w:val="none" w:sz="0" w:space="0" w:color="auto"/>
                <w:bottom w:val="none" w:sz="0" w:space="0" w:color="auto"/>
                <w:right w:val="none" w:sz="0" w:space="0" w:color="auto"/>
              </w:divBdr>
            </w:div>
            <w:div w:id="593320769">
              <w:marLeft w:val="240"/>
              <w:marRight w:val="0"/>
              <w:marTop w:val="0"/>
              <w:marBottom w:val="0"/>
              <w:divBdr>
                <w:top w:val="none" w:sz="0" w:space="0" w:color="auto"/>
                <w:left w:val="none" w:sz="0" w:space="0" w:color="auto"/>
                <w:bottom w:val="none" w:sz="0" w:space="0" w:color="auto"/>
                <w:right w:val="none" w:sz="0" w:space="0" w:color="auto"/>
              </w:divBdr>
            </w:div>
            <w:div w:id="1958636487">
              <w:marLeft w:val="240"/>
              <w:marRight w:val="0"/>
              <w:marTop w:val="0"/>
              <w:marBottom w:val="0"/>
              <w:divBdr>
                <w:top w:val="none" w:sz="0" w:space="0" w:color="auto"/>
                <w:left w:val="none" w:sz="0" w:space="0" w:color="auto"/>
                <w:bottom w:val="none" w:sz="0" w:space="0" w:color="auto"/>
                <w:right w:val="none" w:sz="0" w:space="0" w:color="auto"/>
              </w:divBdr>
            </w:div>
            <w:div w:id="1380130138">
              <w:marLeft w:val="240"/>
              <w:marRight w:val="0"/>
              <w:marTop w:val="150"/>
              <w:marBottom w:val="0"/>
              <w:divBdr>
                <w:top w:val="none" w:sz="0" w:space="0" w:color="auto"/>
                <w:left w:val="none" w:sz="0" w:space="0" w:color="auto"/>
                <w:bottom w:val="none" w:sz="0" w:space="0" w:color="auto"/>
                <w:right w:val="none" w:sz="0" w:space="0" w:color="auto"/>
              </w:divBdr>
            </w:div>
            <w:div w:id="332147840">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egislation.gov.uk/aep/Edw3Stat5/25/2" TargetMode="External"/><Relationship Id="rId13" Type="http://schemas.openxmlformats.org/officeDocument/2006/relationships/hyperlink" Target="https://www.legislation.gov.uk/aep/Edw3Stat5/25/2"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legislation.gov.uk/aep/Edw3Stat5/25/2" TargetMode="External"/><Relationship Id="rId12" Type="http://schemas.openxmlformats.org/officeDocument/2006/relationships/hyperlink" Target="https://www.legislation.gov.uk/aep/Edw3Stat5/25/2" TargetMode="External"/><Relationship Id="rId17" Type="http://schemas.openxmlformats.org/officeDocument/2006/relationships/image" Target="media/image2.gif"/><Relationship Id="rId2" Type="http://schemas.openxmlformats.org/officeDocument/2006/relationships/settings" Target="settings.xml"/><Relationship Id="rId16" Type="http://schemas.openxmlformats.org/officeDocument/2006/relationships/hyperlink" Target="https://www.legislation.gov.uk/ukpga/Vict/5-6/51/introduction/enacted" TargetMode="External"/><Relationship Id="rId1" Type="http://schemas.openxmlformats.org/officeDocument/2006/relationships/styles" Target="styles.xml"/><Relationship Id="rId6" Type="http://schemas.openxmlformats.org/officeDocument/2006/relationships/hyperlink" Target="https://www.legislation.gov.uk/aep/Edw3Stat5/25/2" TargetMode="External"/><Relationship Id="rId11" Type="http://schemas.openxmlformats.org/officeDocument/2006/relationships/hyperlink" Target="https://www.legislation.gov.uk/aep/Edw3Stat5/25/2" TargetMode="External"/><Relationship Id="rId5" Type="http://schemas.openxmlformats.org/officeDocument/2006/relationships/image" Target="media/image1.gif"/><Relationship Id="rId15" Type="http://schemas.openxmlformats.org/officeDocument/2006/relationships/hyperlink" Target="https://www.legislation.gov.uk/aep/Edw3Stat5/25/2" TargetMode="External"/><Relationship Id="rId10" Type="http://schemas.openxmlformats.org/officeDocument/2006/relationships/hyperlink" Target="https://www.legislation.gov.uk/aep/Edw3Stat5/25/2" TargetMode="External"/><Relationship Id="rId19" Type="http://schemas.openxmlformats.org/officeDocument/2006/relationships/theme" Target="theme/theme1.xml"/><Relationship Id="rId4" Type="http://schemas.openxmlformats.org/officeDocument/2006/relationships/hyperlink" Target="https://www.legislation.gov.uk/aep/Edw3Stat5/25/2/introduction" TargetMode="External"/><Relationship Id="rId9" Type="http://schemas.openxmlformats.org/officeDocument/2006/relationships/hyperlink" Target="https://www.legislation.gov.uk/aep/Edw3Stat5/25/2" TargetMode="External"/><Relationship Id="rId14" Type="http://schemas.openxmlformats.org/officeDocument/2006/relationships/hyperlink" Target="https://www.legislation.gov.uk/aep/Edw3Stat5/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1235</Words>
  <Characters>7043</Characters>
  <Application>Microsoft Office Word</Application>
  <DocSecurity>0</DocSecurity>
  <Lines>58</Lines>
  <Paragraphs>16</Paragraphs>
  <ScaleCrop>false</ScaleCrop>
  <Company>MOJ</Company>
  <LinksUpToDate>false</LinksUpToDate>
  <CharactersWithSpaces>8262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Anderson, Claire</dc:creator>
  <cp:keywords/>
  <dc:description/>
  <cp:lastModifiedBy>Anderson, Claire</cp:lastModifiedBy>
  <cp:revision>1</cp:revision>
  <dcterms:created xsi:type="dcterms:W3CDTF">2024-04-05T09:23:00Z</dcterms:created>
  <dcterms:modified xsi:type="dcterms:W3CDTF">2024-04-05T09:26:00Z</dcterms:modified>
</cp:coreProperties>
</file>