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D639" w14:textId="27C70349" w:rsidR="00A97E42" w:rsidRPr="00A97E42" w:rsidRDefault="00A97E42" w:rsidP="00C37CE4">
      <w:pPr>
        <w:jc w:val="center"/>
        <w:rPr>
          <w:sz w:val="24"/>
          <w:szCs w:val="24"/>
          <w:u w:val="single"/>
        </w:rPr>
      </w:pPr>
      <w:r w:rsidRPr="00A97E42">
        <w:rPr>
          <w:sz w:val="24"/>
          <w:szCs w:val="24"/>
          <w:u w:val="single"/>
        </w:rPr>
        <w:t>Proposal – explanatory notes for existing Acts</w:t>
      </w:r>
    </w:p>
    <w:p w14:paraId="41082E5E" w14:textId="41B804BB" w:rsidR="00A97E42" w:rsidRDefault="00774634" w:rsidP="00C37CE4">
      <w:pPr>
        <w:jc w:val="both"/>
        <w:rPr>
          <w:sz w:val="24"/>
          <w:szCs w:val="24"/>
        </w:rPr>
      </w:pPr>
      <w:r>
        <w:rPr>
          <w:sz w:val="24"/>
          <w:szCs w:val="24"/>
        </w:rPr>
        <w:t xml:space="preserve">We would like </w:t>
      </w:r>
      <w:r w:rsidR="00C14978">
        <w:rPr>
          <w:sz w:val="24"/>
          <w:szCs w:val="24"/>
        </w:rPr>
        <w:t>an AI</w:t>
      </w:r>
      <w:r>
        <w:rPr>
          <w:sz w:val="24"/>
          <w:szCs w:val="24"/>
        </w:rPr>
        <w:t xml:space="preserve"> to draft two parts of a legislative document called the </w:t>
      </w:r>
      <w:r w:rsidR="00A97E42">
        <w:rPr>
          <w:sz w:val="24"/>
          <w:szCs w:val="24"/>
        </w:rPr>
        <w:t>‘</w:t>
      </w:r>
      <w:r>
        <w:rPr>
          <w:sz w:val="24"/>
          <w:szCs w:val="24"/>
        </w:rPr>
        <w:t xml:space="preserve">Explanatory </w:t>
      </w:r>
      <w:r w:rsidR="00A97E42">
        <w:rPr>
          <w:sz w:val="24"/>
          <w:szCs w:val="24"/>
        </w:rPr>
        <w:t>Notes’.</w:t>
      </w:r>
      <w:r>
        <w:rPr>
          <w:sz w:val="24"/>
          <w:szCs w:val="24"/>
        </w:rPr>
        <w:t xml:space="preserve"> </w:t>
      </w:r>
      <w:r w:rsidR="003F339B">
        <w:rPr>
          <w:sz w:val="24"/>
          <w:szCs w:val="24"/>
        </w:rPr>
        <w:t xml:space="preserve">Explanatory Notes were introduced in 1999 to go with every Bill which passes through Parliament. </w:t>
      </w:r>
      <w:r w:rsidR="00B5403C">
        <w:rPr>
          <w:sz w:val="24"/>
          <w:szCs w:val="24"/>
        </w:rPr>
        <w:t>The notes are designed to assist readers who do not have legal training and are unfamiliar with the subject matter of the bill.</w:t>
      </w:r>
    </w:p>
    <w:p w14:paraId="7E1AD4DE" w14:textId="77777777" w:rsidR="00ED371E" w:rsidRDefault="00932888" w:rsidP="00C37CE4">
      <w:pPr>
        <w:jc w:val="both"/>
        <w:rPr>
          <w:sz w:val="24"/>
          <w:szCs w:val="24"/>
        </w:rPr>
      </w:pPr>
      <w:r w:rsidRPr="00A97E42">
        <w:rPr>
          <w:b/>
          <w:bCs/>
          <w:sz w:val="24"/>
          <w:szCs w:val="24"/>
        </w:rPr>
        <w:t xml:space="preserve">Treason </w:t>
      </w:r>
      <w:r>
        <w:rPr>
          <w:sz w:val="24"/>
          <w:szCs w:val="24"/>
        </w:rPr>
        <w:t>is a very old offence</w:t>
      </w:r>
      <w:r w:rsidR="00A97E42">
        <w:rPr>
          <w:sz w:val="24"/>
          <w:szCs w:val="24"/>
        </w:rPr>
        <w:t>, dating back to the 14</w:t>
      </w:r>
      <w:r w:rsidR="00A97E42" w:rsidRPr="00A97E42">
        <w:rPr>
          <w:sz w:val="24"/>
          <w:szCs w:val="24"/>
          <w:vertAlign w:val="superscript"/>
        </w:rPr>
        <w:t>th</w:t>
      </w:r>
      <w:r w:rsidR="00A97E42">
        <w:rPr>
          <w:sz w:val="24"/>
          <w:szCs w:val="24"/>
        </w:rPr>
        <w:t xml:space="preserve"> century,</w:t>
      </w:r>
      <w:r>
        <w:rPr>
          <w:sz w:val="24"/>
          <w:szCs w:val="24"/>
        </w:rPr>
        <w:t xml:space="preserve"> which is sometimes still used today to charge individuals who threaten the Crown. </w:t>
      </w:r>
      <w:r w:rsidR="00A97E42">
        <w:rPr>
          <w:sz w:val="24"/>
          <w:szCs w:val="24"/>
        </w:rPr>
        <w:t xml:space="preserve">Two treason offences have been selected, which do not have their own explanatory notes. A </w:t>
      </w:r>
      <w:r w:rsidR="00F14FFC">
        <w:rPr>
          <w:sz w:val="24"/>
          <w:szCs w:val="24"/>
        </w:rPr>
        <w:t>fictitious ‘policy background’ has been drafted</w:t>
      </w:r>
      <w:r w:rsidR="00873127">
        <w:rPr>
          <w:sz w:val="24"/>
          <w:szCs w:val="24"/>
        </w:rPr>
        <w:t xml:space="preserve"> for this offence – this is the document which begins the legislative drafting process, explaining to lawyers and Parliamentary Counsel what needs done, why, and what the outcome should be. </w:t>
      </w:r>
    </w:p>
    <w:p w14:paraId="123066D3" w14:textId="5BBD094E" w:rsidR="00A97E42" w:rsidRDefault="00873127" w:rsidP="00C37CE4">
      <w:pPr>
        <w:jc w:val="both"/>
        <w:rPr>
          <w:sz w:val="24"/>
          <w:szCs w:val="24"/>
        </w:rPr>
      </w:pPr>
      <w:r>
        <w:rPr>
          <w:sz w:val="24"/>
          <w:szCs w:val="24"/>
        </w:rPr>
        <w:t>The two treason offences are drafted in very old language, which may create a</w:t>
      </w:r>
      <w:r w:rsidR="009864B0">
        <w:rPr>
          <w:sz w:val="24"/>
          <w:szCs w:val="24"/>
        </w:rPr>
        <w:t>n additional</w:t>
      </w:r>
      <w:r>
        <w:rPr>
          <w:sz w:val="24"/>
          <w:szCs w:val="24"/>
        </w:rPr>
        <w:t xml:space="preserve"> challenge for the </w:t>
      </w:r>
      <w:r w:rsidR="009864B0">
        <w:rPr>
          <w:sz w:val="24"/>
          <w:szCs w:val="24"/>
        </w:rPr>
        <w:t>tool.</w:t>
      </w:r>
      <w:r w:rsidR="00377C0F">
        <w:rPr>
          <w:sz w:val="24"/>
          <w:szCs w:val="24"/>
        </w:rPr>
        <w:t xml:space="preserve"> We have therefore </w:t>
      </w:r>
      <w:r w:rsidR="00CD4726">
        <w:rPr>
          <w:sz w:val="24"/>
          <w:szCs w:val="24"/>
        </w:rPr>
        <w:t xml:space="preserve">also selected another </w:t>
      </w:r>
      <w:r w:rsidR="00ED371E">
        <w:rPr>
          <w:sz w:val="24"/>
          <w:szCs w:val="24"/>
        </w:rPr>
        <w:t>offence with more modern drafting.</w:t>
      </w:r>
    </w:p>
    <w:p w14:paraId="5379B565" w14:textId="66653930" w:rsidR="00774634" w:rsidRDefault="005E5996" w:rsidP="00C37CE4">
      <w:pPr>
        <w:jc w:val="both"/>
        <w:rPr>
          <w:sz w:val="24"/>
          <w:szCs w:val="24"/>
        </w:rPr>
      </w:pPr>
      <w:r w:rsidRPr="00A97E42">
        <w:rPr>
          <w:b/>
          <w:bCs/>
          <w:sz w:val="24"/>
          <w:szCs w:val="24"/>
        </w:rPr>
        <w:t>Theft</w:t>
      </w:r>
      <w:r w:rsidRPr="00417D24">
        <w:rPr>
          <w:sz w:val="24"/>
          <w:szCs w:val="24"/>
        </w:rPr>
        <w:t xml:space="preserve"> is a criminal offence which has a long history. The current provisions which are used today were introduced in 1968. </w:t>
      </w:r>
      <w:r w:rsidR="003F339B">
        <w:rPr>
          <w:sz w:val="24"/>
          <w:szCs w:val="24"/>
        </w:rPr>
        <w:t>We would like to see if the tool can draft these parts for sections 1 to 7 of the Theft Act 1968, which does not have its own explanatory note.</w:t>
      </w:r>
      <w:r w:rsidR="004A4AED">
        <w:rPr>
          <w:sz w:val="24"/>
          <w:szCs w:val="24"/>
        </w:rPr>
        <w:t xml:space="preserve"> </w:t>
      </w:r>
    </w:p>
    <w:p w14:paraId="44533F9D" w14:textId="08E8F480" w:rsidR="0062067D" w:rsidRPr="007C605B" w:rsidRDefault="003F339B" w:rsidP="007C605B">
      <w:pPr>
        <w:pStyle w:val="ListParagraph"/>
        <w:numPr>
          <w:ilvl w:val="0"/>
          <w:numId w:val="7"/>
        </w:numPr>
        <w:jc w:val="both"/>
        <w:rPr>
          <w:b/>
          <w:bCs/>
          <w:sz w:val="24"/>
          <w:szCs w:val="24"/>
        </w:rPr>
      </w:pPr>
      <w:r w:rsidRPr="007C605B">
        <w:rPr>
          <w:b/>
          <w:sz w:val="24"/>
          <w:szCs w:val="24"/>
        </w:rPr>
        <w:t>“</w:t>
      </w:r>
      <w:r w:rsidR="0062067D" w:rsidRPr="007C605B">
        <w:rPr>
          <w:b/>
          <w:bCs/>
          <w:sz w:val="24"/>
          <w:szCs w:val="24"/>
        </w:rPr>
        <w:t>Policy background” section</w:t>
      </w:r>
    </w:p>
    <w:p w14:paraId="48BC4213" w14:textId="77777777" w:rsidR="0062067D" w:rsidRPr="00774634" w:rsidRDefault="0062067D" w:rsidP="0062067D">
      <w:pPr>
        <w:jc w:val="both"/>
        <w:rPr>
          <w:sz w:val="24"/>
          <w:szCs w:val="24"/>
        </w:rPr>
      </w:pPr>
      <w:r>
        <w:rPr>
          <w:sz w:val="24"/>
          <w:szCs w:val="24"/>
        </w:rPr>
        <w:t>This section</w:t>
      </w:r>
      <w:r w:rsidRPr="00774634">
        <w:rPr>
          <w:sz w:val="24"/>
          <w:szCs w:val="24"/>
        </w:rPr>
        <w:t xml:space="preserve"> should give the </w:t>
      </w:r>
      <w:r>
        <w:rPr>
          <w:sz w:val="24"/>
          <w:szCs w:val="24"/>
        </w:rPr>
        <w:t>background to the measure in plain English. It needs to be</w:t>
      </w:r>
      <w:r w:rsidRPr="00774634">
        <w:rPr>
          <w:sz w:val="24"/>
          <w:szCs w:val="24"/>
        </w:rPr>
        <w:t xml:space="preserve"> upfront and clear to someone who knows nothing about the subject.</w:t>
      </w:r>
      <w:r>
        <w:rPr>
          <w:sz w:val="24"/>
          <w:szCs w:val="24"/>
        </w:rPr>
        <w:t xml:space="preserve"> It should provide a high-level description of the present situation, how the bill would change it and the reasons for the change.</w:t>
      </w:r>
    </w:p>
    <w:p w14:paraId="793FBD26" w14:textId="77777777" w:rsidR="0062067D" w:rsidRPr="00774634" w:rsidRDefault="0062067D" w:rsidP="0062067D">
      <w:pPr>
        <w:jc w:val="both"/>
        <w:rPr>
          <w:sz w:val="24"/>
          <w:szCs w:val="24"/>
        </w:rPr>
      </w:pPr>
      <w:r>
        <w:rPr>
          <w:sz w:val="24"/>
          <w:szCs w:val="24"/>
        </w:rPr>
        <w:t>A useful policy background might</w:t>
      </w:r>
      <w:r w:rsidRPr="00774634">
        <w:rPr>
          <w:sz w:val="24"/>
          <w:szCs w:val="24"/>
        </w:rPr>
        <w:t xml:space="preserve"> cover the following:</w:t>
      </w:r>
    </w:p>
    <w:p w14:paraId="1D484A60" w14:textId="77777777" w:rsidR="0062067D" w:rsidRPr="00774634" w:rsidRDefault="0062067D" w:rsidP="0062067D">
      <w:pPr>
        <w:numPr>
          <w:ilvl w:val="0"/>
          <w:numId w:val="4"/>
        </w:numPr>
        <w:jc w:val="both"/>
        <w:rPr>
          <w:sz w:val="24"/>
          <w:szCs w:val="24"/>
        </w:rPr>
      </w:pPr>
      <w:r w:rsidRPr="00774634">
        <w:rPr>
          <w:sz w:val="24"/>
          <w:szCs w:val="24"/>
        </w:rPr>
        <w:t>Purpose – what are the objectives of the measures?</w:t>
      </w:r>
    </w:p>
    <w:p w14:paraId="795A0A2E" w14:textId="77777777" w:rsidR="0062067D" w:rsidRPr="00774634" w:rsidRDefault="0062067D" w:rsidP="0062067D">
      <w:pPr>
        <w:numPr>
          <w:ilvl w:val="0"/>
          <w:numId w:val="4"/>
        </w:numPr>
        <w:jc w:val="both"/>
        <w:rPr>
          <w:sz w:val="24"/>
          <w:szCs w:val="24"/>
        </w:rPr>
      </w:pPr>
      <w:r w:rsidRPr="00774634">
        <w:rPr>
          <w:sz w:val="24"/>
          <w:szCs w:val="24"/>
        </w:rPr>
        <w:t>Context – what is the current position, the size and nature of the problem it is addressing?</w:t>
      </w:r>
    </w:p>
    <w:p w14:paraId="0E458797" w14:textId="77777777" w:rsidR="0062067D" w:rsidRPr="00774634" w:rsidRDefault="0062067D" w:rsidP="0062067D">
      <w:pPr>
        <w:numPr>
          <w:ilvl w:val="0"/>
          <w:numId w:val="4"/>
        </w:numPr>
        <w:jc w:val="both"/>
        <w:rPr>
          <w:sz w:val="24"/>
          <w:szCs w:val="24"/>
        </w:rPr>
      </w:pPr>
      <w:r w:rsidRPr="00774634">
        <w:rPr>
          <w:sz w:val="24"/>
          <w:szCs w:val="24"/>
        </w:rPr>
        <w:t>Effects – what will be the effect on any target group, numbers affected and how are they affected?</w:t>
      </w:r>
    </w:p>
    <w:p w14:paraId="1C6F6F85" w14:textId="77777777" w:rsidR="0062067D" w:rsidRPr="00774634" w:rsidRDefault="0062067D" w:rsidP="0062067D">
      <w:pPr>
        <w:numPr>
          <w:ilvl w:val="0"/>
          <w:numId w:val="4"/>
        </w:numPr>
        <w:jc w:val="both"/>
        <w:rPr>
          <w:sz w:val="24"/>
          <w:szCs w:val="24"/>
        </w:rPr>
      </w:pPr>
      <w:r w:rsidRPr="00774634">
        <w:rPr>
          <w:sz w:val="24"/>
          <w:szCs w:val="24"/>
        </w:rPr>
        <w:t>Evidence – why is this solution likely to achieve the policy objective, or the degree to which it will impact?</w:t>
      </w:r>
    </w:p>
    <w:p w14:paraId="7A15F59D" w14:textId="77777777" w:rsidR="0062067D" w:rsidRDefault="0062067D" w:rsidP="0062067D">
      <w:pPr>
        <w:numPr>
          <w:ilvl w:val="0"/>
          <w:numId w:val="4"/>
        </w:numPr>
        <w:jc w:val="both"/>
        <w:rPr>
          <w:sz w:val="24"/>
          <w:szCs w:val="24"/>
        </w:rPr>
      </w:pPr>
      <w:r w:rsidRPr="00774634">
        <w:rPr>
          <w:sz w:val="24"/>
          <w:szCs w:val="24"/>
        </w:rPr>
        <w:t>Significance – whether the change is politically or legally important?</w:t>
      </w:r>
    </w:p>
    <w:p w14:paraId="177C6D94" w14:textId="58E5CE55" w:rsidR="00C64625" w:rsidRDefault="0062067D" w:rsidP="0062067D">
      <w:pPr>
        <w:jc w:val="both"/>
        <w:rPr>
          <w:sz w:val="24"/>
          <w:szCs w:val="24"/>
        </w:rPr>
      </w:pPr>
      <w:r w:rsidRPr="00E7418C">
        <w:rPr>
          <w:sz w:val="24"/>
          <w:szCs w:val="24"/>
        </w:rPr>
        <w:t>There is no policy background available for these Acts</w:t>
      </w:r>
      <w:r>
        <w:rPr>
          <w:sz w:val="24"/>
          <w:szCs w:val="24"/>
        </w:rPr>
        <w:t>,</w:t>
      </w:r>
      <w:r w:rsidRPr="00E7418C">
        <w:rPr>
          <w:sz w:val="24"/>
          <w:szCs w:val="24"/>
        </w:rPr>
        <w:t xml:space="preserve"> so we would like the tool to </w:t>
      </w:r>
      <w:r>
        <w:rPr>
          <w:sz w:val="24"/>
          <w:szCs w:val="24"/>
        </w:rPr>
        <w:t>write them.</w:t>
      </w:r>
      <w:r w:rsidR="00C64625">
        <w:rPr>
          <w:sz w:val="24"/>
          <w:szCs w:val="24"/>
        </w:rPr>
        <w:t xml:space="preserve"> A good example is here - </w:t>
      </w:r>
      <w:hyperlink r:id="rId5" w:history="1">
        <w:r w:rsidR="00C64625">
          <w:rPr>
            <w:rStyle w:val="Hyperlink"/>
          </w:rPr>
          <w:t>Fraud Act 2006 - Explanatory Notes (legislation.gov.uk)</w:t>
        </w:r>
      </w:hyperlink>
      <w:r w:rsidR="007D3294">
        <w:t xml:space="preserve">, for this Act: </w:t>
      </w:r>
      <w:hyperlink r:id="rId6" w:history="1">
        <w:r w:rsidR="007D3294">
          <w:rPr>
            <w:rStyle w:val="Hyperlink"/>
          </w:rPr>
          <w:t>Fraud Act 2006 (legislation.gov.uk)</w:t>
        </w:r>
      </w:hyperlink>
      <w:r w:rsidR="00C64625">
        <w:t>.</w:t>
      </w:r>
      <w:r w:rsidR="00CF7D38">
        <w:t xml:space="preserve"> </w:t>
      </w:r>
      <w:r>
        <w:rPr>
          <w:sz w:val="24"/>
          <w:szCs w:val="24"/>
        </w:rPr>
        <w:t xml:space="preserve"> </w:t>
      </w:r>
    </w:p>
    <w:p w14:paraId="377C7FFF" w14:textId="33BDE810" w:rsidR="0062067D" w:rsidRPr="00774634" w:rsidRDefault="0062067D" w:rsidP="0062067D">
      <w:pPr>
        <w:jc w:val="both"/>
        <w:rPr>
          <w:sz w:val="24"/>
          <w:szCs w:val="24"/>
        </w:rPr>
      </w:pPr>
      <w:r>
        <w:rPr>
          <w:sz w:val="24"/>
          <w:szCs w:val="24"/>
        </w:rPr>
        <w:t xml:space="preserve">We have two approaches which may yield different results for each Act. We would like the tool to </w:t>
      </w:r>
      <w:r w:rsidRPr="00E7418C">
        <w:rPr>
          <w:sz w:val="24"/>
          <w:szCs w:val="24"/>
        </w:rPr>
        <w:t>come up with something</w:t>
      </w:r>
      <w:r w:rsidR="000863AA">
        <w:rPr>
          <w:sz w:val="24"/>
          <w:szCs w:val="24"/>
        </w:rPr>
        <w:t xml:space="preserve"> itself, </w:t>
      </w:r>
      <w:r w:rsidR="00CB2062">
        <w:rPr>
          <w:sz w:val="24"/>
          <w:szCs w:val="24"/>
        </w:rPr>
        <w:t>but also be directed to</w:t>
      </w:r>
      <w:r w:rsidR="000863AA" w:rsidRPr="00E7418C">
        <w:rPr>
          <w:sz w:val="24"/>
          <w:szCs w:val="24"/>
        </w:rPr>
        <w:t xml:space="preserve"> specified online resources </w:t>
      </w:r>
      <w:r w:rsidR="000863AA" w:rsidRPr="00E7418C">
        <w:rPr>
          <w:sz w:val="24"/>
          <w:szCs w:val="24"/>
        </w:rPr>
        <w:lastRenderedPageBreak/>
        <w:t>relevant to the criminal offence of theft</w:t>
      </w:r>
      <w:r w:rsidRPr="00E7418C">
        <w:rPr>
          <w:sz w:val="24"/>
          <w:szCs w:val="24"/>
        </w:rPr>
        <w:t>.</w:t>
      </w:r>
      <w:r>
        <w:rPr>
          <w:sz w:val="24"/>
          <w:szCs w:val="24"/>
        </w:rPr>
        <w:t xml:space="preserve"> For the offence of treason, we have written fictitious policy instructions which we would like to form the basis for the policy background. </w:t>
      </w:r>
    </w:p>
    <w:p w14:paraId="4B74EDAA" w14:textId="6C2EC974" w:rsidR="0062067D" w:rsidRPr="003B15AA" w:rsidRDefault="0062067D" w:rsidP="0062067D">
      <w:pPr>
        <w:jc w:val="both"/>
        <w:rPr>
          <w:b/>
          <w:bCs/>
        </w:rPr>
      </w:pPr>
      <w:r>
        <w:t xml:space="preserve">For </w:t>
      </w:r>
      <w:r>
        <w:rPr>
          <w:b/>
          <w:bCs/>
        </w:rPr>
        <w:t>Treason:</w:t>
      </w:r>
      <w:r w:rsidR="00CB2062">
        <w:rPr>
          <w:b/>
          <w:bCs/>
        </w:rPr>
        <w:t xml:space="preserve"> </w:t>
      </w:r>
      <w:r w:rsidR="003B15AA">
        <w:rPr>
          <w:b/>
          <w:bCs/>
        </w:rPr>
        <w:t xml:space="preserve"> </w:t>
      </w:r>
      <w:hyperlink r:id="rId7" w:history="1">
        <w:r>
          <w:rPr>
            <w:rStyle w:val="Hyperlink"/>
          </w:rPr>
          <w:t>Treason - Wikipedia</w:t>
        </w:r>
      </w:hyperlink>
    </w:p>
    <w:p w14:paraId="750462E7" w14:textId="0EDA981F" w:rsidR="0062067D" w:rsidRDefault="0062067D" w:rsidP="0062067D">
      <w:pPr>
        <w:jc w:val="both"/>
      </w:pPr>
      <w:r w:rsidRPr="00E7418C">
        <w:rPr>
          <w:sz w:val="24"/>
          <w:szCs w:val="24"/>
        </w:rPr>
        <w:t>For</w:t>
      </w:r>
      <w:r>
        <w:rPr>
          <w:b/>
          <w:bCs/>
          <w:sz w:val="24"/>
          <w:szCs w:val="24"/>
        </w:rPr>
        <w:t xml:space="preserve"> Theft:</w:t>
      </w:r>
      <w:r>
        <w:rPr>
          <w:sz w:val="24"/>
          <w:szCs w:val="24"/>
        </w:rPr>
        <w:t xml:space="preserve"> </w:t>
      </w:r>
      <w:hyperlink r:id="rId8" w:history="1">
        <w:r>
          <w:rPr>
            <w:rStyle w:val="Hyperlink"/>
          </w:rPr>
          <w:t>Theft - Wikipedia</w:t>
        </w:r>
      </w:hyperlink>
      <w:r>
        <w:t xml:space="preserve"> </w:t>
      </w:r>
      <w:hyperlink r:id="rId9" w:history="1">
        <w:r>
          <w:rPr>
            <w:rStyle w:val="Hyperlink"/>
          </w:rPr>
          <w:t>CPS Theft Act Offences</w:t>
        </w:r>
      </w:hyperlink>
      <w:r>
        <w:t xml:space="preserve"> and </w:t>
      </w:r>
      <w:hyperlink r:id="rId10" w:history="1">
        <w:r>
          <w:rPr>
            <w:rStyle w:val="Hyperlink"/>
          </w:rPr>
          <w:t>Sentencing guidelines</w:t>
        </w:r>
      </w:hyperlink>
      <w:r>
        <w:t>.</w:t>
      </w:r>
    </w:p>
    <w:p w14:paraId="4E677242" w14:textId="77777777" w:rsidR="007C605B" w:rsidRPr="0062067D" w:rsidRDefault="007C605B" w:rsidP="0062067D">
      <w:pPr>
        <w:jc w:val="both"/>
      </w:pPr>
    </w:p>
    <w:p w14:paraId="0C70B5BF" w14:textId="61AACE57" w:rsidR="00774634" w:rsidRPr="00774634" w:rsidRDefault="007C605B" w:rsidP="007C605B">
      <w:pPr>
        <w:spacing w:after="200" w:line="276" w:lineRule="auto"/>
        <w:jc w:val="both"/>
        <w:rPr>
          <w:b/>
          <w:sz w:val="24"/>
          <w:szCs w:val="24"/>
          <w:u w:val="single"/>
        </w:rPr>
      </w:pPr>
      <w:r>
        <w:rPr>
          <w:b/>
          <w:bCs/>
          <w:sz w:val="24"/>
          <w:szCs w:val="24"/>
          <w:u w:val="single"/>
        </w:rPr>
        <w:t xml:space="preserve">2 </w:t>
      </w:r>
      <w:proofErr w:type="gramStart"/>
      <w:r>
        <w:rPr>
          <w:b/>
          <w:bCs/>
          <w:sz w:val="24"/>
          <w:szCs w:val="24"/>
          <w:u w:val="single"/>
        </w:rPr>
        <w:t>-</w:t>
      </w:r>
      <w:r w:rsidR="003F339B" w:rsidRPr="007C605B">
        <w:rPr>
          <w:b/>
          <w:bCs/>
          <w:sz w:val="24"/>
          <w:szCs w:val="24"/>
          <w:u w:val="single"/>
        </w:rPr>
        <w:t>“</w:t>
      </w:r>
      <w:proofErr w:type="gramEnd"/>
      <w:r w:rsidR="00774634" w:rsidRPr="007C605B">
        <w:rPr>
          <w:b/>
          <w:sz w:val="24"/>
          <w:szCs w:val="24"/>
          <w:u w:val="single"/>
        </w:rPr>
        <w:t>Commentary on provisions of the bill</w:t>
      </w:r>
      <w:r w:rsidR="003F339B" w:rsidRPr="007C605B">
        <w:rPr>
          <w:b/>
          <w:sz w:val="24"/>
          <w:szCs w:val="24"/>
          <w:u w:val="single"/>
        </w:rPr>
        <w:t>”</w:t>
      </w:r>
      <w:r w:rsidR="00774634" w:rsidRPr="007C605B">
        <w:rPr>
          <w:b/>
          <w:sz w:val="24"/>
          <w:szCs w:val="24"/>
          <w:u w:val="single"/>
        </w:rPr>
        <w:t xml:space="preserve"> section </w:t>
      </w:r>
    </w:p>
    <w:p w14:paraId="5C30E70F" w14:textId="4AC711B4" w:rsidR="00B5403C" w:rsidRDefault="003F339B" w:rsidP="00B5403C">
      <w:pPr>
        <w:spacing w:after="200" w:line="276" w:lineRule="auto"/>
        <w:jc w:val="both"/>
        <w:rPr>
          <w:sz w:val="24"/>
          <w:szCs w:val="24"/>
        </w:rPr>
      </w:pPr>
      <w:r>
        <w:rPr>
          <w:sz w:val="24"/>
          <w:szCs w:val="24"/>
        </w:rPr>
        <w:t>This is also known as ‘line by line’ and provides a simple summary of a measure to allow a layperson to understand</w:t>
      </w:r>
      <w:r w:rsidR="008C6B2B">
        <w:rPr>
          <w:sz w:val="24"/>
          <w:szCs w:val="24"/>
        </w:rPr>
        <w:t xml:space="preserve"> what it does</w:t>
      </w:r>
      <w:r>
        <w:rPr>
          <w:sz w:val="24"/>
          <w:szCs w:val="24"/>
        </w:rPr>
        <w:t xml:space="preserve">. </w:t>
      </w:r>
      <w:r w:rsidR="005B6FB4">
        <w:rPr>
          <w:sz w:val="24"/>
          <w:szCs w:val="24"/>
        </w:rPr>
        <w:t xml:space="preserve">Again, you should look at </w:t>
      </w:r>
      <w:hyperlink r:id="rId11" w:history="1">
        <w:r w:rsidR="005B6FB4">
          <w:rPr>
            <w:rStyle w:val="Hyperlink"/>
          </w:rPr>
          <w:t>Explanatory Notes to Fraud Act 2006 (legislation.gov.uk)</w:t>
        </w:r>
      </w:hyperlink>
      <w:r w:rsidR="005B6FB4">
        <w:t xml:space="preserve"> </w:t>
      </w:r>
      <w:r w:rsidR="005B6FB4" w:rsidRPr="00F80756">
        <w:rPr>
          <w:sz w:val="24"/>
          <w:szCs w:val="24"/>
        </w:rPr>
        <w:t xml:space="preserve">as an example. </w:t>
      </w:r>
      <w:r w:rsidR="00F80756">
        <w:rPr>
          <w:sz w:val="24"/>
          <w:szCs w:val="24"/>
        </w:rPr>
        <w:t xml:space="preserve">See also section 70 (non-fatal strangulation) - </w:t>
      </w:r>
      <w:hyperlink r:id="rId12" w:history="1">
        <w:r w:rsidR="00F80756">
          <w:rPr>
            <w:rStyle w:val="Hyperlink"/>
          </w:rPr>
          <w:t>Domestic Abuse Act 2021 (legislation.gov.uk)</w:t>
        </w:r>
      </w:hyperlink>
      <w:r w:rsidR="00F80756">
        <w:t>.</w:t>
      </w:r>
    </w:p>
    <w:p w14:paraId="211B34E8" w14:textId="3C998C1F" w:rsidR="003F339B" w:rsidRDefault="00341D62" w:rsidP="003F339B">
      <w:pPr>
        <w:spacing w:after="200" w:line="276" w:lineRule="auto"/>
        <w:jc w:val="both"/>
        <w:rPr>
          <w:sz w:val="24"/>
          <w:szCs w:val="24"/>
        </w:rPr>
      </w:pPr>
      <w:r>
        <w:rPr>
          <w:sz w:val="24"/>
          <w:szCs w:val="24"/>
        </w:rPr>
        <w:t xml:space="preserve">The commentary must never simply restate what the bill </w:t>
      </w:r>
      <w:proofErr w:type="gramStart"/>
      <w:r>
        <w:rPr>
          <w:sz w:val="24"/>
          <w:szCs w:val="24"/>
        </w:rPr>
        <w:t>says, but</w:t>
      </w:r>
      <w:proofErr w:type="gramEnd"/>
      <w:r>
        <w:rPr>
          <w:sz w:val="24"/>
          <w:szCs w:val="24"/>
        </w:rPr>
        <w:t xml:space="preserve"> should stand back from the detail of the provision and try to summarise it in one or two sentences, using everyday language. </w:t>
      </w:r>
      <w:r w:rsidR="003F339B">
        <w:rPr>
          <w:sz w:val="24"/>
          <w:szCs w:val="24"/>
        </w:rPr>
        <w:t>The notes must be neutral in tone</w:t>
      </w:r>
      <w:r w:rsidR="005B7D05">
        <w:rPr>
          <w:sz w:val="24"/>
          <w:szCs w:val="24"/>
        </w:rPr>
        <w:t xml:space="preserve"> (</w:t>
      </w:r>
      <w:proofErr w:type="spellStart"/>
      <w:r w:rsidR="005B7D05">
        <w:rPr>
          <w:sz w:val="24"/>
          <w:szCs w:val="24"/>
        </w:rPr>
        <w:t>ie</w:t>
      </w:r>
      <w:proofErr w:type="spellEnd"/>
      <w:r w:rsidR="005B7D05">
        <w:rPr>
          <w:sz w:val="24"/>
          <w:szCs w:val="24"/>
        </w:rPr>
        <w:t xml:space="preserve"> they do not </w:t>
      </w:r>
      <w:r w:rsidR="00812633">
        <w:rPr>
          <w:sz w:val="24"/>
          <w:szCs w:val="24"/>
        </w:rPr>
        <w:t>go into political lines about the merits of the policy, though the practical outcomes should be spelled out)</w:t>
      </w:r>
      <w:r w:rsidR="003F339B">
        <w:rPr>
          <w:sz w:val="24"/>
          <w:szCs w:val="24"/>
        </w:rPr>
        <w:t>, written in plain language, with short sentences and paragraphs. It is important to avoid jargon and to explain the meaning of any technical or legal terms and any acronyms or other abbreviations.</w:t>
      </w:r>
    </w:p>
    <w:p w14:paraId="7D82FD75" w14:textId="3643C941" w:rsidR="004653E5" w:rsidRDefault="00341D62" w:rsidP="00C37CE4">
      <w:pPr>
        <w:spacing w:after="200" w:line="276" w:lineRule="auto"/>
        <w:jc w:val="both"/>
        <w:rPr>
          <w:sz w:val="24"/>
          <w:szCs w:val="24"/>
        </w:rPr>
      </w:pPr>
      <w:r>
        <w:rPr>
          <w:sz w:val="24"/>
          <w:szCs w:val="24"/>
        </w:rPr>
        <w:t xml:space="preserve">The purpose of the commentary is also to add value – what will it be helpful for the reader to know that is not apparent from reading the bill itself? </w:t>
      </w:r>
      <w:r w:rsidR="00540AAD">
        <w:rPr>
          <w:sz w:val="24"/>
          <w:szCs w:val="24"/>
        </w:rPr>
        <w:t xml:space="preserve">We want to see if the tool can </w:t>
      </w:r>
      <w:r w:rsidR="004653E5">
        <w:rPr>
          <w:sz w:val="24"/>
          <w:szCs w:val="24"/>
        </w:rPr>
        <w:t>write</w:t>
      </w:r>
      <w:r w:rsidR="00540AAD">
        <w:rPr>
          <w:sz w:val="24"/>
          <w:szCs w:val="24"/>
        </w:rPr>
        <w:t xml:space="preserve"> this </w:t>
      </w:r>
      <w:r w:rsidR="004653E5">
        <w:rPr>
          <w:sz w:val="24"/>
          <w:szCs w:val="24"/>
        </w:rPr>
        <w:t xml:space="preserve">using the following </w:t>
      </w:r>
      <w:r w:rsidR="00540AAD">
        <w:rPr>
          <w:sz w:val="24"/>
          <w:szCs w:val="24"/>
        </w:rPr>
        <w:t>information</w:t>
      </w:r>
      <w:r w:rsidR="004653E5">
        <w:rPr>
          <w:sz w:val="24"/>
          <w:szCs w:val="24"/>
        </w:rPr>
        <w:t>:</w:t>
      </w:r>
      <w:r w:rsidR="00540AAD">
        <w:rPr>
          <w:sz w:val="24"/>
          <w:szCs w:val="24"/>
        </w:rPr>
        <w:t xml:space="preserve"> </w:t>
      </w:r>
    </w:p>
    <w:p w14:paraId="2F349D36" w14:textId="7ADC6A3F" w:rsidR="00341D62" w:rsidRDefault="00341D62" w:rsidP="00341D62">
      <w:pPr>
        <w:spacing w:after="200" w:line="276" w:lineRule="auto"/>
        <w:jc w:val="both"/>
        <w:rPr>
          <w:sz w:val="24"/>
          <w:szCs w:val="24"/>
        </w:rPr>
      </w:pPr>
      <w:r>
        <w:rPr>
          <w:sz w:val="24"/>
          <w:szCs w:val="24"/>
        </w:rPr>
        <w:t xml:space="preserve">Information that it might be helpful to include is: </w:t>
      </w:r>
    </w:p>
    <w:p w14:paraId="107FE5B4" w14:textId="77777777" w:rsidR="00341D62" w:rsidRDefault="00341D62" w:rsidP="00341D62">
      <w:pPr>
        <w:numPr>
          <w:ilvl w:val="0"/>
          <w:numId w:val="5"/>
        </w:numPr>
        <w:spacing w:after="200" w:line="276" w:lineRule="auto"/>
        <w:jc w:val="both"/>
        <w:rPr>
          <w:sz w:val="24"/>
          <w:szCs w:val="24"/>
        </w:rPr>
      </w:pPr>
      <w:r>
        <w:rPr>
          <w:sz w:val="24"/>
          <w:szCs w:val="24"/>
        </w:rPr>
        <w:t xml:space="preserve">factual </w:t>
      </w:r>
      <w:proofErr w:type="gramStart"/>
      <w:r>
        <w:rPr>
          <w:sz w:val="24"/>
          <w:szCs w:val="24"/>
        </w:rPr>
        <w:t>background;</w:t>
      </w:r>
      <w:proofErr w:type="gramEnd"/>
    </w:p>
    <w:p w14:paraId="159BF000" w14:textId="77777777" w:rsidR="00341D62" w:rsidRDefault="00341D62" w:rsidP="00341D62">
      <w:pPr>
        <w:numPr>
          <w:ilvl w:val="0"/>
          <w:numId w:val="5"/>
        </w:numPr>
        <w:spacing w:after="200" w:line="276" w:lineRule="auto"/>
        <w:jc w:val="both"/>
        <w:rPr>
          <w:sz w:val="24"/>
          <w:szCs w:val="24"/>
        </w:rPr>
      </w:pPr>
      <w:r>
        <w:rPr>
          <w:sz w:val="24"/>
          <w:szCs w:val="24"/>
        </w:rPr>
        <w:t>an explanation of how the provision interacts with other legislation (whether other provisions of the bill or of existing legislation</w:t>
      </w:r>
      <w:proofErr w:type="gramStart"/>
      <w:r>
        <w:rPr>
          <w:sz w:val="24"/>
          <w:szCs w:val="24"/>
        </w:rPr>
        <w:t>);</w:t>
      </w:r>
      <w:proofErr w:type="gramEnd"/>
    </w:p>
    <w:p w14:paraId="1A530007" w14:textId="77777777" w:rsidR="00341D62" w:rsidRDefault="00341D62" w:rsidP="00341D62">
      <w:pPr>
        <w:numPr>
          <w:ilvl w:val="0"/>
          <w:numId w:val="5"/>
        </w:numPr>
        <w:spacing w:after="200" w:line="276" w:lineRule="auto"/>
        <w:jc w:val="both"/>
        <w:rPr>
          <w:sz w:val="24"/>
          <w:szCs w:val="24"/>
        </w:rPr>
      </w:pPr>
      <w:r>
        <w:rPr>
          <w:sz w:val="24"/>
          <w:szCs w:val="24"/>
        </w:rPr>
        <w:t xml:space="preserve">definitions of technical terms used in the </w:t>
      </w:r>
      <w:proofErr w:type="gramStart"/>
      <w:r>
        <w:rPr>
          <w:sz w:val="24"/>
          <w:szCs w:val="24"/>
        </w:rPr>
        <w:t>bill;</w:t>
      </w:r>
      <w:proofErr w:type="gramEnd"/>
    </w:p>
    <w:p w14:paraId="7D34BFB7" w14:textId="77777777" w:rsidR="00341D62" w:rsidRDefault="00341D62" w:rsidP="00341D62">
      <w:pPr>
        <w:numPr>
          <w:ilvl w:val="0"/>
          <w:numId w:val="5"/>
        </w:numPr>
        <w:spacing w:after="200" w:line="276" w:lineRule="auto"/>
        <w:jc w:val="both"/>
        <w:rPr>
          <w:sz w:val="24"/>
          <w:szCs w:val="24"/>
        </w:rPr>
      </w:pPr>
      <w:r>
        <w:rPr>
          <w:sz w:val="24"/>
          <w:szCs w:val="24"/>
        </w:rPr>
        <w:t>illustrative examples of how the bill will work in practice (these might perhaps be worked examples of a calculation or examples of how a new offence might be committed</w:t>
      </w:r>
      <w:proofErr w:type="gramStart"/>
      <w:r>
        <w:rPr>
          <w:sz w:val="24"/>
          <w:szCs w:val="24"/>
        </w:rPr>
        <w:t>);</w:t>
      </w:r>
      <w:proofErr w:type="gramEnd"/>
      <w:r>
        <w:rPr>
          <w:sz w:val="24"/>
          <w:szCs w:val="24"/>
        </w:rPr>
        <w:t xml:space="preserve"> </w:t>
      </w:r>
    </w:p>
    <w:p w14:paraId="6BABD201" w14:textId="6AFFE9AD" w:rsidR="00341D62" w:rsidRDefault="00341D62" w:rsidP="00341D62">
      <w:pPr>
        <w:numPr>
          <w:ilvl w:val="0"/>
          <w:numId w:val="5"/>
        </w:numPr>
        <w:spacing w:after="200" w:line="276" w:lineRule="auto"/>
        <w:jc w:val="both"/>
        <w:rPr>
          <w:sz w:val="24"/>
          <w:szCs w:val="24"/>
        </w:rPr>
      </w:pPr>
      <w:r>
        <w:rPr>
          <w:sz w:val="24"/>
          <w:szCs w:val="24"/>
        </w:rPr>
        <w:t>an explanation of how the department plans to use the provision.</w:t>
      </w:r>
    </w:p>
    <w:p w14:paraId="7C17FC55" w14:textId="428E2830" w:rsidR="004A4AED" w:rsidRDefault="004A4AED" w:rsidP="00C37CE4">
      <w:pPr>
        <w:spacing w:after="200" w:line="276" w:lineRule="auto"/>
        <w:jc w:val="both"/>
        <w:rPr>
          <w:sz w:val="24"/>
          <w:szCs w:val="24"/>
        </w:rPr>
      </w:pPr>
      <w:r>
        <w:rPr>
          <w:sz w:val="24"/>
          <w:szCs w:val="24"/>
        </w:rPr>
        <w:t xml:space="preserve">For </w:t>
      </w:r>
      <w:r>
        <w:rPr>
          <w:b/>
          <w:bCs/>
          <w:sz w:val="24"/>
          <w:szCs w:val="24"/>
        </w:rPr>
        <w:t xml:space="preserve">theft </w:t>
      </w:r>
      <w:r w:rsidR="00B15CB2">
        <w:rPr>
          <w:b/>
          <w:bCs/>
          <w:sz w:val="24"/>
          <w:szCs w:val="24"/>
        </w:rPr>
        <w:t>–</w:t>
      </w:r>
      <w:r>
        <w:rPr>
          <w:b/>
          <w:bCs/>
          <w:sz w:val="24"/>
          <w:szCs w:val="24"/>
        </w:rPr>
        <w:t xml:space="preserve"> </w:t>
      </w:r>
      <w:r w:rsidR="00B15CB2">
        <w:rPr>
          <w:sz w:val="24"/>
          <w:szCs w:val="24"/>
        </w:rPr>
        <w:t xml:space="preserve">a combined summary for </w:t>
      </w:r>
      <w:r w:rsidR="0055197D">
        <w:rPr>
          <w:sz w:val="24"/>
          <w:szCs w:val="24"/>
        </w:rPr>
        <w:t>s</w:t>
      </w:r>
      <w:r>
        <w:rPr>
          <w:sz w:val="24"/>
          <w:szCs w:val="24"/>
        </w:rPr>
        <w:t>ections 1-7 (read with section 34)</w:t>
      </w:r>
      <w:r w:rsidR="00B15CB2">
        <w:rPr>
          <w:sz w:val="24"/>
          <w:szCs w:val="24"/>
        </w:rPr>
        <w:t xml:space="preserve"> together</w:t>
      </w:r>
      <w:r w:rsidR="006F1421">
        <w:rPr>
          <w:sz w:val="24"/>
          <w:szCs w:val="24"/>
        </w:rPr>
        <w:t xml:space="preserve"> would be </w:t>
      </w:r>
      <w:r w:rsidR="0055197D">
        <w:rPr>
          <w:sz w:val="24"/>
          <w:szCs w:val="24"/>
        </w:rPr>
        <w:t xml:space="preserve">preferable, rather than separate summaries for the separate sections. </w:t>
      </w:r>
      <w:r>
        <w:rPr>
          <w:sz w:val="24"/>
          <w:szCs w:val="24"/>
        </w:rPr>
        <w:t xml:space="preserve">   </w:t>
      </w:r>
    </w:p>
    <w:p w14:paraId="2742D4B2" w14:textId="153F0CFB" w:rsidR="003F339B" w:rsidRPr="00FF4DFB" w:rsidRDefault="004A4AED" w:rsidP="00C37CE4">
      <w:pPr>
        <w:spacing w:after="200" w:line="276" w:lineRule="auto"/>
        <w:jc w:val="both"/>
        <w:rPr>
          <w:sz w:val="24"/>
          <w:szCs w:val="24"/>
        </w:rPr>
      </w:pPr>
      <w:r>
        <w:rPr>
          <w:sz w:val="24"/>
          <w:szCs w:val="24"/>
        </w:rPr>
        <w:t xml:space="preserve">For </w:t>
      </w:r>
      <w:r>
        <w:rPr>
          <w:b/>
          <w:bCs/>
          <w:sz w:val="24"/>
          <w:szCs w:val="24"/>
        </w:rPr>
        <w:t xml:space="preserve">treason </w:t>
      </w:r>
      <w:r w:rsidR="00727D4F">
        <w:rPr>
          <w:b/>
          <w:bCs/>
          <w:sz w:val="24"/>
          <w:szCs w:val="24"/>
        </w:rPr>
        <w:t>–</w:t>
      </w:r>
      <w:r w:rsidR="00FF4DFB">
        <w:rPr>
          <w:b/>
          <w:bCs/>
          <w:sz w:val="24"/>
          <w:szCs w:val="24"/>
        </w:rPr>
        <w:t xml:space="preserve"> </w:t>
      </w:r>
      <w:r w:rsidR="00FF4DFB">
        <w:rPr>
          <w:sz w:val="24"/>
          <w:szCs w:val="24"/>
        </w:rPr>
        <w:t>the 1351 Act</w:t>
      </w:r>
      <w:r w:rsidR="00A6138C">
        <w:rPr>
          <w:sz w:val="24"/>
          <w:szCs w:val="24"/>
        </w:rPr>
        <w:t xml:space="preserve"> should have </w:t>
      </w:r>
      <w:r w:rsidR="0055197D">
        <w:rPr>
          <w:sz w:val="24"/>
          <w:szCs w:val="24"/>
        </w:rPr>
        <w:t>a summary</w:t>
      </w:r>
      <w:r w:rsidR="00746B69">
        <w:rPr>
          <w:sz w:val="24"/>
          <w:szCs w:val="24"/>
        </w:rPr>
        <w:t xml:space="preserve"> drafted; the 1842 Act should have separate</w:t>
      </w:r>
      <w:r w:rsidR="008F412E">
        <w:rPr>
          <w:sz w:val="24"/>
          <w:szCs w:val="24"/>
        </w:rPr>
        <w:t xml:space="preserve"> </w:t>
      </w:r>
      <w:r w:rsidR="00EB3C79">
        <w:rPr>
          <w:sz w:val="24"/>
          <w:szCs w:val="24"/>
        </w:rPr>
        <w:t>summary</w:t>
      </w:r>
      <w:r w:rsidR="00746B69">
        <w:rPr>
          <w:sz w:val="24"/>
          <w:szCs w:val="24"/>
        </w:rPr>
        <w:t xml:space="preserve"> </w:t>
      </w:r>
      <w:r w:rsidR="00A41AB4">
        <w:rPr>
          <w:sz w:val="24"/>
          <w:szCs w:val="24"/>
        </w:rPr>
        <w:t xml:space="preserve">for each of the </w:t>
      </w:r>
      <w:r w:rsidR="00662405">
        <w:rPr>
          <w:sz w:val="24"/>
          <w:szCs w:val="24"/>
        </w:rPr>
        <w:t xml:space="preserve">3 </w:t>
      </w:r>
      <w:r w:rsidR="0055197D">
        <w:rPr>
          <w:sz w:val="24"/>
          <w:szCs w:val="24"/>
        </w:rPr>
        <w:t>sections</w:t>
      </w:r>
      <w:r w:rsidR="00662405">
        <w:rPr>
          <w:sz w:val="24"/>
          <w:szCs w:val="24"/>
        </w:rPr>
        <w:t>.</w:t>
      </w:r>
      <w:bookmarkStart w:id="0" w:name="_vx1227"/>
      <w:bookmarkEnd w:id="0"/>
    </w:p>
    <w:sectPr w:rsidR="003F339B" w:rsidRPr="00FF4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A7C53"/>
    <w:multiLevelType w:val="hybridMultilevel"/>
    <w:tmpl w:val="699E44DC"/>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FB4E80"/>
    <w:multiLevelType w:val="hybridMultilevel"/>
    <w:tmpl w:val="648A9B94"/>
    <w:lvl w:ilvl="0" w:tplc="459033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C41DDA"/>
    <w:multiLevelType w:val="multilevel"/>
    <w:tmpl w:val="E0ACD8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89A454B"/>
    <w:multiLevelType w:val="multilevel"/>
    <w:tmpl w:val="2C9A942A"/>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4" w15:restartNumberingAfterBreak="0">
    <w:nsid w:val="67A026DF"/>
    <w:multiLevelType w:val="hybridMultilevel"/>
    <w:tmpl w:val="0A409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CC137B"/>
    <w:multiLevelType w:val="hybridMultilevel"/>
    <w:tmpl w:val="8AA08CC4"/>
    <w:lvl w:ilvl="0" w:tplc="D9B6AD9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8098179">
    <w:abstractNumId w:val="4"/>
  </w:num>
  <w:num w:numId="2" w16cid:durableId="162866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9188982">
    <w:abstractNumId w:val="3"/>
  </w:num>
  <w:num w:numId="4" w16cid:durableId="353460039">
    <w:abstractNumId w:val="5"/>
  </w:num>
  <w:num w:numId="5" w16cid:durableId="857543957">
    <w:abstractNumId w:val="3"/>
  </w:num>
  <w:num w:numId="6" w16cid:durableId="2000453003">
    <w:abstractNumId w:val="0"/>
  </w:num>
  <w:num w:numId="7" w16cid:durableId="287785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DB"/>
    <w:rsid w:val="00017AF4"/>
    <w:rsid w:val="000863AA"/>
    <w:rsid w:val="001447C5"/>
    <w:rsid w:val="00163B4F"/>
    <w:rsid w:val="00243F69"/>
    <w:rsid w:val="00300EC7"/>
    <w:rsid w:val="00341D62"/>
    <w:rsid w:val="00377C0F"/>
    <w:rsid w:val="00385B1D"/>
    <w:rsid w:val="003937A1"/>
    <w:rsid w:val="003B15AA"/>
    <w:rsid w:val="003F339B"/>
    <w:rsid w:val="00417D24"/>
    <w:rsid w:val="004245A9"/>
    <w:rsid w:val="004653E5"/>
    <w:rsid w:val="00466444"/>
    <w:rsid w:val="004A4AED"/>
    <w:rsid w:val="004D269A"/>
    <w:rsid w:val="004F1BE5"/>
    <w:rsid w:val="00536E95"/>
    <w:rsid w:val="00540AAD"/>
    <w:rsid w:val="0055197D"/>
    <w:rsid w:val="00593287"/>
    <w:rsid w:val="005951AB"/>
    <w:rsid w:val="005B0D24"/>
    <w:rsid w:val="005B6FB4"/>
    <w:rsid w:val="005B7D05"/>
    <w:rsid w:val="005C1786"/>
    <w:rsid w:val="005E5996"/>
    <w:rsid w:val="0062067D"/>
    <w:rsid w:val="006454CD"/>
    <w:rsid w:val="00653383"/>
    <w:rsid w:val="00662405"/>
    <w:rsid w:val="0067279D"/>
    <w:rsid w:val="006A5B42"/>
    <w:rsid w:val="006F1421"/>
    <w:rsid w:val="00727D4F"/>
    <w:rsid w:val="00746B69"/>
    <w:rsid w:val="00752CDB"/>
    <w:rsid w:val="00766986"/>
    <w:rsid w:val="00774634"/>
    <w:rsid w:val="0079536D"/>
    <w:rsid w:val="007C605B"/>
    <w:rsid w:val="007D3294"/>
    <w:rsid w:val="00812633"/>
    <w:rsid w:val="00873127"/>
    <w:rsid w:val="008A28FC"/>
    <w:rsid w:val="008C6B2B"/>
    <w:rsid w:val="008F412E"/>
    <w:rsid w:val="0091278B"/>
    <w:rsid w:val="00932888"/>
    <w:rsid w:val="00945EBE"/>
    <w:rsid w:val="00947E65"/>
    <w:rsid w:val="00965F51"/>
    <w:rsid w:val="009864B0"/>
    <w:rsid w:val="009B032D"/>
    <w:rsid w:val="00A05222"/>
    <w:rsid w:val="00A37E2E"/>
    <w:rsid w:val="00A41AB4"/>
    <w:rsid w:val="00A6138C"/>
    <w:rsid w:val="00A94DD2"/>
    <w:rsid w:val="00A97E42"/>
    <w:rsid w:val="00B15CB2"/>
    <w:rsid w:val="00B37628"/>
    <w:rsid w:val="00B5403C"/>
    <w:rsid w:val="00B87462"/>
    <w:rsid w:val="00C14978"/>
    <w:rsid w:val="00C37CE4"/>
    <w:rsid w:val="00C64625"/>
    <w:rsid w:val="00C81255"/>
    <w:rsid w:val="00C928B1"/>
    <w:rsid w:val="00C97E95"/>
    <w:rsid w:val="00CB2062"/>
    <w:rsid w:val="00CD4726"/>
    <w:rsid w:val="00CF7D38"/>
    <w:rsid w:val="00DC6739"/>
    <w:rsid w:val="00DC76A0"/>
    <w:rsid w:val="00DF47A8"/>
    <w:rsid w:val="00E7418C"/>
    <w:rsid w:val="00E74CE2"/>
    <w:rsid w:val="00E956E6"/>
    <w:rsid w:val="00EB3C79"/>
    <w:rsid w:val="00ED371E"/>
    <w:rsid w:val="00F06B47"/>
    <w:rsid w:val="00F14FFC"/>
    <w:rsid w:val="00F80756"/>
    <w:rsid w:val="00F90D47"/>
    <w:rsid w:val="00FF4DFB"/>
    <w:rsid w:val="25A935E3"/>
    <w:rsid w:val="2BEAAF9C"/>
    <w:rsid w:val="488FB06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DDDE"/>
  <w15:chartTrackingRefBased/>
  <w15:docId w15:val="{8BD54B49-DDA8-408A-BD34-F7E600D5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634"/>
    <w:pPr>
      <w:ind w:left="720"/>
      <w:contextualSpacing/>
    </w:pPr>
  </w:style>
  <w:style w:type="character" w:styleId="Hyperlink">
    <w:name w:val="Hyperlink"/>
    <w:basedOn w:val="DefaultParagraphFont"/>
    <w:uiPriority w:val="99"/>
    <w:unhideWhenUsed/>
    <w:rsid w:val="00300EC7"/>
    <w:rPr>
      <w:color w:val="0000FF"/>
      <w:u w:val="single"/>
    </w:rPr>
  </w:style>
  <w:style w:type="character" w:styleId="UnresolvedMention">
    <w:name w:val="Unresolved Mention"/>
    <w:basedOn w:val="DefaultParagraphFont"/>
    <w:uiPriority w:val="99"/>
    <w:semiHidden/>
    <w:unhideWhenUsed/>
    <w:rsid w:val="005B0D24"/>
    <w:rPr>
      <w:color w:val="605E5C"/>
      <w:shd w:val="clear" w:color="auto" w:fill="E1DFDD"/>
    </w:rPr>
  </w:style>
  <w:style w:type="character" w:styleId="CommentReference">
    <w:name w:val="annotation reference"/>
    <w:basedOn w:val="DefaultParagraphFont"/>
    <w:uiPriority w:val="99"/>
    <w:semiHidden/>
    <w:unhideWhenUsed/>
    <w:rsid w:val="005B0D24"/>
    <w:rPr>
      <w:sz w:val="16"/>
      <w:szCs w:val="16"/>
    </w:rPr>
  </w:style>
  <w:style w:type="paragraph" w:styleId="CommentText">
    <w:name w:val="annotation text"/>
    <w:basedOn w:val="Normal"/>
    <w:link w:val="CommentTextChar"/>
    <w:uiPriority w:val="99"/>
    <w:unhideWhenUsed/>
    <w:rsid w:val="005B0D24"/>
    <w:pPr>
      <w:spacing w:line="240" w:lineRule="auto"/>
    </w:pPr>
    <w:rPr>
      <w:sz w:val="20"/>
      <w:szCs w:val="20"/>
    </w:rPr>
  </w:style>
  <w:style w:type="character" w:customStyle="1" w:styleId="CommentTextChar">
    <w:name w:val="Comment Text Char"/>
    <w:basedOn w:val="DefaultParagraphFont"/>
    <w:link w:val="CommentText"/>
    <w:uiPriority w:val="99"/>
    <w:rsid w:val="005B0D24"/>
    <w:rPr>
      <w:sz w:val="20"/>
      <w:szCs w:val="20"/>
    </w:rPr>
  </w:style>
  <w:style w:type="paragraph" w:styleId="CommentSubject">
    <w:name w:val="annotation subject"/>
    <w:basedOn w:val="CommentText"/>
    <w:next w:val="CommentText"/>
    <w:link w:val="CommentSubjectChar"/>
    <w:uiPriority w:val="99"/>
    <w:semiHidden/>
    <w:unhideWhenUsed/>
    <w:rsid w:val="005B0D24"/>
    <w:rPr>
      <w:b/>
      <w:bCs/>
    </w:rPr>
  </w:style>
  <w:style w:type="character" w:customStyle="1" w:styleId="CommentSubjectChar">
    <w:name w:val="Comment Subject Char"/>
    <w:basedOn w:val="CommentTextChar"/>
    <w:link w:val="CommentSubject"/>
    <w:uiPriority w:val="99"/>
    <w:semiHidden/>
    <w:rsid w:val="005B0D24"/>
    <w:rPr>
      <w:b/>
      <w:bCs/>
      <w:sz w:val="20"/>
      <w:szCs w:val="20"/>
    </w:rPr>
  </w:style>
  <w:style w:type="character" w:styleId="Mention">
    <w:name w:val="Mention"/>
    <w:basedOn w:val="DefaultParagraphFont"/>
    <w:uiPriority w:val="99"/>
    <w:unhideWhenUsed/>
    <w:rsid w:val="005B0D24"/>
    <w:rPr>
      <w:color w:val="2B579A"/>
      <w:shd w:val="clear" w:color="auto" w:fill="E1DFDD"/>
    </w:rPr>
  </w:style>
  <w:style w:type="character" w:styleId="FollowedHyperlink">
    <w:name w:val="FollowedHyperlink"/>
    <w:basedOn w:val="DefaultParagraphFont"/>
    <w:uiPriority w:val="99"/>
    <w:semiHidden/>
    <w:unhideWhenUsed/>
    <w:rsid w:val="005B0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49682">
      <w:bodyDiv w:val="1"/>
      <w:marLeft w:val="0"/>
      <w:marRight w:val="0"/>
      <w:marTop w:val="0"/>
      <w:marBottom w:val="0"/>
      <w:divBdr>
        <w:top w:val="none" w:sz="0" w:space="0" w:color="auto"/>
        <w:left w:val="none" w:sz="0" w:space="0" w:color="auto"/>
        <w:bottom w:val="none" w:sz="0" w:space="0" w:color="auto"/>
        <w:right w:val="none" w:sz="0" w:space="0" w:color="auto"/>
      </w:divBdr>
    </w:div>
    <w:div w:id="156421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f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reason" TargetMode="External"/><Relationship Id="rId12" Type="http://schemas.openxmlformats.org/officeDocument/2006/relationships/hyperlink" Target="https://www.legislation.gov.uk/ukpga/2021/17/notes/division/6/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gislation.gov.uk/ukpga/2006/35/contents" TargetMode="External"/><Relationship Id="rId11" Type="http://schemas.openxmlformats.org/officeDocument/2006/relationships/hyperlink" Target="https://www.legislation.gov.uk/ukpga/2006/35/notes/data.pdf" TargetMode="External"/><Relationship Id="rId5" Type="http://schemas.openxmlformats.org/officeDocument/2006/relationships/hyperlink" Target="https://www.legislation.gov.uk/ukpga/2006/35/notes/division/3" TargetMode="External"/><Relationship Id="rId10" Type="http://schemas.openxmlformats.org/officeDocument/2006/relationships/hyperlink" Target="https://www.sentencingcouncil.org.uk/sentencing-and-the-council/about-sentencing-guidelines/about-published-guidelines/theft/" TargetMode="External"/><Relationship Id="rId4" Type="http://schemas.openxmlformats.org/officeDocument/2006/relationships/webSettings" Target="webSettings.xml"/><Relationship Id="rId9" Type="http://schemas.openxmlformats.org/officeDocument/2006/relationships/hyperlink" Target="https://www.cps.gov.uk/legal-guidance/theft-act-offen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Claire</dc:creator>
  <cp:keywords/>
  <dc:description/>
  <cp:lastModifiedBy>Pugh, Chloe | She/Hers</cp:lastModifiedBy>
  <cp:revision>25</cp:revision>
  <dcterms:created xsi:type="dcterms:W3CDTF">2024-04-04T04:07:00Z</dcterms:created>
  <dcterms:modified xsi:type="dcterms:W3CDTF">2024-04-11T11:39:00Z</dcterms:modified>
</cp:coreProperties>
</file>