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Писареву Наталию Владимировну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декабря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Писаревой Наталии Владимировны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