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473E08" w:rsidRDefault="005F733D" w:rsidP="00473E08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</w:t>
            </w:r>
            <w:r w:rsidR="00473E08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21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99343B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99343B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99343B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B745F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473E08" w:rsidRDefault="00927C4A" w:rsidP="00473E0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</w:t>
            </w:r>
            <w:r w:rsidR="00473E08">
              <w:rPr>
                <w:rFonts w:ascii="Arial" w:eastAsia="Times New Roman" w:hAnsi="Arial" w:cs="Arial"/>
                <w:b/>
                <w:sz w:val="24"/>
                <w:szCs w:val="24"/>
                <w:lang w:val="en-US" w:eastAsia="ru-RU"/>
              </w:rPr>
              <w:t>21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gramStart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РАЗРАБОТАН</w:t>
      </w:r>
      <w:proofErr w:type="gramEnd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="00432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ВЗАМЕН СТО ИПВР 00-001-2019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4121E0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4121E0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4121E0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4121E0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4121E0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4121E0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FF22CF">
        <w:rPr>
          <w:noProof/>
        </w:rPr>
        <w:t>3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4121E0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4121E0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9"/>
          <w:footerReference w:type="default" r:id="rId10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ОСНОВНЫЕ </w:t>
            </w:r>
            <w:r w:rsidR="00AF740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0" w:name="_Toc43027993"/>
      <w:bookmarkStart w:id="1" w:name="_Toc104291244"/>
      <w:bookmarkStart w:id="2" w:name="_Toc19013373"/>
      <w:r w:rsidRPr="00516310">
        <w:t>Область применения</w:t>
      </w:r>
      <w:bookmarkEnd w:id="0"/>
      <w:bookmarkEnd w:id="1"/>
      <w:bookmarkEnd w:id="2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  <w:proofErr w:type="gramEnd"/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3" w:name="_Toc19013374"/>
      <w:r w:rsidRPr="00516310">
        <w:t>Нормативные ссылки</w:t>
      </w:r>
      <w:bookmarkEnd w:id="3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 xml:space="preserve">В настоящем стандарте использованы ссылки на следующие </w:t>
      </w:r>
      <w:r w:rsidR="00F91ABD">
        <w:rPr>
          <w:rFonts w:ascii="Arial" w:eastAsia="Times New Roman" w:hAnsi="Arial" w:cs="Arial"/>
          <w:sz w:val="24"/>
          <w:szCs w:val="24"/>
          <w:lang w:eastAsia="ru-RU"/>
        </w:rPr>
        <w:t xml:space="preserve">нормативные 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документы:</w:t>
      </w:r>
    </w:p>
    <w:p w:rsidR="00F56F85" w:rsidRPr="00F56F85" w:rsidRDefault="00F56F85" w:rsidP="007B766C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7B766C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1.12–20</w:t>
      </w:r>
      <w:r w:rsidR="00432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Стандартизация в Российской Федерации. Термины и определения</w:t>
      </w:r>
    </w:p>
    <w:p w:rsidR="00F56F85" w:rsidRPr="00F56F85" w:rsidRDefault="00F56F85" w:rsidP="007B766C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DF5B6C" w:rsidRDefault="002219E5" w:rsidP="007B766C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</w:t>
      </w:r>
      <w:r w:rsidR="00432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21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6E1701" w:rsidRPr="00516310" w:rsidRDefault="006E1701" w:rsidP="004A4583">
      <w:pPr>
        <w:pStyle w:val="1"/>
      </w:pPr>
      <w:bookmarkStart w:id="4" w:name="_Toc19013375"/>
      <w:r w:rsidRPr="00516310">
        <w:t>Термины, определения и сокращения</w:t>
      </w:r>
      <w:bookmarkEnd w:id="4"/>
    </w:p>
    <w:p w:rsidR="00516310" w:rsidRDefault="00516310" w:rsidP="007B766C">
      <w:pPr>
        <w:pStyle w:val="ab"/>
        <w:numPr>
          <w:ilvl w:val="1"/>
          <w:numId w:val="17"/>
        </w:numPr>
        <w:tabs>
          <w:tab w:val="left" w:pos="978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1.12, ГОСТ Р ИСО 9000, 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473E08" w:rsidRDefault="00F7575D" w:rsidP="007B766C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7B766C">
      <w:pPr>
        <w:pStyle w:val="ab"/>
        <w:numPr>
          <w:ilvl w:val="0"/>
          <w:numId w:val="32"/>
        </w:numPr>
        <w:tabs>
          <w:tab w:val="left" w:pos="1134"/>
          <w:tab w:val="left" w:pos="978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7B766C">
      <w:pPr>
        <w:pStyle w:val="ab"/>
        <w:numPr>
          <w:ilvl w:val="0"/>
          <w:numId w:val="32"/>
        </w:numPr>
        <w:tabs>
          <w:tab w:val="left" w:pos="1134"/>
          <w:tab w:val="left" w:pos="978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7B766C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  <w:proofErr w:type="gramEnd"/>
    </w:p>
    <w:p w:rsidR="00BF0721" w:rsidRPr="00E84683" w:rsidRDefault="00BF0721" w:rsidP="007B766C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7B766C">
      <w:pPr>
        <w:pStyle w:val="ab"/>
        <w:numPr>
          <w:ilvl w:val="0"/>
          <w:numId w:val="32"/>
        </w:numPr>
        <w:tabs>
          <w:tab w:val="left" w:pos="1134"/>
          <w:tab w:val="left" w:pos="978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214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371"/>
      </w:tblGrid>
      <w:tr w:rsidR="007D2E3D" w:rsidRPr="002E622F" w:rsidTr="007B766C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7B766C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7B766C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7B766C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7B766C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371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5" w:name="_Toc19013376"/>
      <w:r w:rsidRPr="00AC153C">
        <w:t>Ответственность</w:t>
      </w:r>
      <w:bookmarkEnd w:id="5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432E2D">
        <w:rPr>
          <w:rFonts w:ascii="Arial" w:hAnsi="Arial" w:cs="Arial"/>
          <w:sz w:val="24"/>
          <w:szCs w:val="24"/>
        </w:rPr>
        <w:t xml:space="preserve">,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="00432E2D">
        <w:rPr>
          <w:rFonts w:ascii="Arial" w:hAnsi="Arial" w:cs="Arial"/>
          <w:sz w:val="24"/>
          <w:szCs w:val="24"/>
        </w:rPr>
        <w:t xml:space="preserve">и внесение в него изменений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6" w:name="_Toc19013377"/>
      <w:r w:rsidRPr="00F42AC6">
        <w:t>Требования</w:t>
      </w:r>
      <w:bookmarkEnd w:id="6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7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7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</w:t>
      </w:r>
      <w:proofErr w:type="gramStart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взаимосвязанных</w:t>
      </w:r>
      <w:proofErr w:type="gramEnd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</w:t>
      </w:r>
      <w:proofErr w:type="gramStart"/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даты введения</w:t>
      </w:r>
      <w:proofErr w:type="gramEnd"/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Основной задачей Системы ВНД Концерна является регламент</w:t>
      </w:r>
      <w:r w:rsidR="00B15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ация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различны</w:t>
      </w:r>
      <w:r w:rsidR="00B15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аспект</w:t>
      </w:r>
      <w:r w:rsidR="00B15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8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Default="00523F80" w:rsidP="004121E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84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B15A45" w:rsidRPr="00B15A45" w:rsidRDefault="00B15A45" w:rsidP="00B15A45">
      <w:pPr>
        <w:tabs>
          <w:tab w:val="left" w:pos="1134"/>
        </w:tabs>
        <w:overflowPunct w:val="0"/>
        <w:autoSpaceDE w:val="0"/>
        <w:autoSpaceDN w:val="0"/>
        <w:adjustRightInd w:val="0"/>
        <w:spacing w:after="8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lastRenderedPageBreak/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7224BC" w:rsidP="00DD0A50">
            <w:pPr>
              <w:pStyle w:val="Style26"/>
              <w:widowControl/>
              <w:spacing w:line="240" w:lineRule="auto"/>
              <w:ind w:left="113" w:firstLine="0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473E08">
              <w:rPr>
                <w:rFonts w:cs="Arial"/>
                <w:color w:val="000000"/>
              </w:rPr>
              <w:tab/>
              <w:t>Помощник генерального директора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7224BC" w:rsidP="00DD0A50">
            <w:pPr>
              <w:snapToGrid w:val="0"/>
              <w:spacing w:after="0" w:line="240" w:lineRule="auto"/>
              <w:ind w:left="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73E08" w:rsidRPr="00523F80" w:rsidTr="007224BC">
        <w:tc>
          <w:tcPr>
            <w:tcW w:w="1553" w:type="dxa"/>
            <w:shd w:val="clear" w:color="auto" w:fill="auto"/>
          </w:tcPr>
          <w:p w:rsidR="00473E08" w:rsidRPr="00583838" w:rsidRDefault="00473E08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73E08" w:rsidRPr="00583838" w:rsidRDefault="00473E08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73E08" w:rsidRPr="00D104E1" w:rsidRDefault="00473E08" w:rsidP="00421A9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473E08">
              <w:rPr>
                <w:rFonts w:cs="Arial"/>
                <w:color w:val="000000"/>
              </w:rPr>
              <w:tab/>
              <w:t>Помощник генерального директора</w:t>
            </w:r>
          </w:p>
        </w:tc>
      </w:tr>
      <w:tr w:rsidR="00665A01" w:rsidRPr="00523F80" w:rsidTr="007224BC">
        <w:tc>
          <w:tcPr>
            <w:tcW w:w="1553" w:type="dxa"/>
            <w:shd w:val="clear" w:color="auto" w:fill="auto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665A01" w:rsidRPr="00D104E1" w:rsidRDefault="00665A01" w:rsidP="00DD0A50">
            <w:pPr>
              <w:pStyle w:val="Style26"/>
              <w:widowControl/>
              <w:spacing w:line="240" w:lineRule="auto"/>
              <w:ind w:left="113" w:right="120" w:firstLine="0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665A01" w:rsidRPr="00523F80" w:rsidTr="007224BC">
        <w:tc>
          <w:tcPr>
            <w:tcW w:w="1553" w:type="dxa"/>
            <w:shd w:val="clear" w:color="auto" w:fill="auto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665A01" w:rsidRPr="00E80D4E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665A01" w:rsidRPr="00523F80" w:rsidTr="007224BC">
        <w:tc>
          <w:tcPr>
            <w:tcW w:w="1553" w:type="dxa"/>
            <w:shd w:val="clear" w:color="auto" w:fill="auto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665A01" w:rsidRPr="00E80D4E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665A01" w:rsidRPr="00523F80" w:rsidTr="007224BC">
        <w:tc>
          <w:tcPr>
            <w:tcW w:w="1553" w:type="dxa"/>
            <w:shd w:val="clear" w:color="auto" w:fill="auto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665A01" w:rsidRPr="00E80D4E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665A01" w:rsidRPr="00523F80" w:rsidTr="007224BC">
        <w:tc>
          <w:tcPr>
            <w:tcW w:w="1553" w:type="dxa"/>
            <w:shd w:val="clear" w:color="auto" w:fill="auto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665A01" w:rsidRPr="00523F80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665A01" w:rsidRPr="00D104E1" w:rsidRDefault="00665A01" w:rsidP="0059232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</w:tbl>
    <w:p w:rsidR="00F041A8" w:rsidRPr="009106DA" w:rsidRDefault="009C3365" w:rsidP="004121E0">
      <w:pPr>
        <w:pStyle w:val="Style26"/>
        <w:widowControl/>
        <w:spacing w:before="960" w:line="240" w:lineRule="auto"/>
        <w:ind w:firstLine="0"/>
        <w:rPr>
          <w:i/>
        </w:rPr>
      </w:pPr>
      <w:r>
        <w:rPr>
          <w:i/>
        </w:rPr>
        <w:lastRenderedPageBreak/>
        <w:t>Окончание</w:t>
      </w:r>
      <w:r w:rsidR="009106DA" w:rsidRPr="009106DA">
        <w:rPr>
          <w:i/>
        </w:rPr>
        <w:t xml:space="preserve">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523F80" w:rsidRDefault="00473E08" w:rsidP="00CD31C0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473E08" w:rsidRPr="00523F80" w:rsidRDefault="00473E08" w:rsidP="00CD31C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473E08" w:rsidRPr="00D104E1" w:rsidRDefault="00473E08" w:rsidP="00CD31C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473E08" w:rsidRPr="00D104E1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>Директор ДСОиР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473E08" w:rsidRPr="00D104E1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473E08" w:rsidRPr="00D104E1" w:rsidRDefault="00473E08" w:rsidP="00DD0A50">
            <w:pPr>
              <w:pStyle w:val="Style26"/>
              <w:widowControl/>
              <w:spacing w:line="240" w:lineRule="auto"/>
              <w:ind w:left="113" w:right="111" w:firstLine="0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473E08" w:rsidRPr="00D104E1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473E08" w:rsidRPr="00D104E1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0B7E3E" w:rsidRDefault="00473E08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473E08" w:rsidRPr="000B7E3E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473E08" w:rsidRPr="000B7E3E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>Директор ДКП</w:t>
            </w:r>
          </w:p>
        </w:tc>
      </w:tr>
      <w:tr w:rsidR="00473E08" w:rsidRPr="00523F80" w:rsidTr="007224BC">
        <w:tc>
          <w:tcPr>
            <w:tcW w:w="1553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473E08" w:rsidRPr="00523F80" w:rsidRDefault="00473E08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473E08" w:rsidRPr="00D104E1" w:rsidRDefault="00473E08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9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nWsAAAADbAAAADwAAAGRycy9kb3ducmV2LnhtbERPTYvCMBC9C/6HMMJeRNNdRKQaRQSX&#10;PXixevE2NmNbbSY1ydbuv98Igrd5vM9ZrDpTi5acrywr+BwnIIhzqysuFBwP29EMhA/IGmvLpOCP&#10;PKyW/d4CU20fvKc2C4WIIexTVFCG0KRS+rwkg35sG+LIXawzGCJ0hdQOHzHc1PIrSabSYMWxocSG&#10;NiXlt+zXKCjo7O9dSyE7fU/c8HrZ7dDMlPoYdOs5iEBdeItf7h8d50/g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wp1rAAAAA2wAAAA8AAAAAAAAAAAAAAAAA&#10;oQIAAGRycy9kb3ducmV2LnhtbFBLBQYAAAAABAAEAPkAAACOAwAAAAA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6ctsAAAADbAAAADwAAAGRycy9kb3ducmV2LnhtbERPTYvCMBC9C/6HMIIXWVNFRLpGEWHF&#10;gxerF29jM7bdbSbdJNb6783Cgrd5vM9ZrjtTi5acrywrmIwTEMS51RUXCs6nr48FCB+QNdaWScGT&#10;PKxX/d4SU20ffKQ2C4WIIexTVFCG0KRS+rwkg35sG+LI3awzGCJ0hdQOHzHc1HKaJHNpsOLYUGJD&#10;25Lyn+xuFBR09b9dSyG77GZu9H07HNAslBoOus0niEBdeIv/3Xsd58/h75d4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unLbAAAAA2wAAAA8AAAAAAAAAAAAAAAAA&#10;oQIAAGRycy9kb3ducmV2LnhtbFBLBQYAAAAABAAEAPkAAACOAwAAAAA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lLsAA&#10;AADbAAAADwAAAGRycy9kb3ducmV2LnhtbERP24rCMBB9X/Afwgi+LJqqrEo1ihdkfdxVP2Bopmmx&#10;mZQm1vr3RljYtzmc66w2na1ES40vHSsYjxIQxJnTJRsF18txuADhA7LGyjEpeJKHzbr3scJUuwf/&#10;UnsORsQQ9ikqKEKoUyl9VpBFP3I1ceRy11gMETZG6gYfMdxWcpIkM2mx5NhQYE37grLb+W4VfJ52&#10;36bN5fSYf03umTvcfrYmUWrQ77ZLEIG68C/+c590nD+H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2lLs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M5cYAAADbAAAADwAAAGRycy9kb3ducmV2LnhtbESPMW/CQAyFd6T+h5MrscGFDhVKORCJ&#10;1KpLByhIdDM5k0TJ+dLcNaT99fWAxGbrPb/3ebUZXasG6kPt2cBinoAiLrytuTRw+HydLUGFiGyx&#10;9UwGfinAZv0wWWFq/ZV3NOxjqSSEQ4oGqhi7VOtQVOQwzH1HLNrF9w6jrH2pbY9XCXetfkqSZ+2w&#10;ZmmosKO8oqLZ/zgDX3mevH13fx/ZyS/zYzgf2mxojJk+jtsXUJHGeDffrt+t4Aus/CID6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5zOXGAAAA2wAAAA8AAAAAAAAA&#10;AAAAAAAAoQIAAGRycy9kb3ducmV2LnhtbFBLBQYAAAAABAAEAPkAAACUAwAAAAA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Ux8AA&#10;AADbAAAADwAAAGRycy9kb3ducmV2LnhtbERP24rCMBB9X/Afwgi+LJqqrGg1ihdkfdxVP2Bopmmx&#10;mZQm1vr3RljYtzmc66w2na1ES40vHSsYjxIQxJnTJRsF18txOAfhA7LGyjEpeJKHzbr3scJUuwf/&#10;UnsORsQQ9ikqKEKoUyl9VpBFP3I1ceRy11gMETZG6gYfMdxWcpIkM2mx5NhQYE37grLb+W4VfJ52&#10;36bN5fSYf03umTvcfrYmUWrQ77ZLEIG68C/+c590nL+A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6Ux8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dr5L8AAADbAAAADwAAAGRycy9kb3ducmV2LnhtbERPTYvCMBC9C/6HMIIX0VSRRapRRFA8&#10;eLG7l72NzdhWm0lNYu3++81B8Ph436tNZ2rRkvOVZQXTSQKCOLe64kLBz/d+vADhA7LG2jIp+CMP&#10;m3W/t8JU2xefqc1CIWII+xQVlCE0qZQ+L8mgn9iGOHJX6wyGCF0htcNXDDe1nCXJlzRYcWwosaFd&#10;Sfk9exoFBV38o2spZL+HuRvdrqcTmoVSw0G3XYII1IWP+O0+agWzuD5+i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adr5L8AAADbAAAADwAAAAAAAAAAAAAAAACh&#10;AgAAZHJzL2Rvd25yZXYueG1sUEsFBgAAAAAEAAQA+QAAAI0DAAAAAA==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EMIA&#10;AADbAAAADwAAAGRycy9kb3ducmV2LnhtbESPQWsCMRSE7wX/Q3iCt5rVg9jVKCIIXkTc9tDeHslz&#10;N7p5WTZxXf31plDocZiZb5jlune16KgN1rOCyTgDQay9sVwq+Prcvc9BhIhssPZMCh4UYL0avC0x&#10;N/7OJ+qKWIoE4ZCjgirGJpcy6IochrFviJN39q3DmGRbStPiPcFdLadZNpMOLaeFChvaVqSvxc0p&#10;MPztWf/Yw9Nyoe3H8zi/6E6p0bDfLEBE6uN/+K+9NwqmE/j9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sIQwgAAANsAAAAPAAAAAAAAAAAAAAAAAJgCAABkcnMvZG93&#10;bnJldi54bWxQSwUGAAAAAAQABAD1AAAAhwM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MC8IA&#10;AADbAAAADwAAAGRycy9kb3ducmV2LnhtbESP0YrCMBRE34X9h3AXfBFNt+Ii1SiuIuujun7ApblN&#10;i81NaWKtf78RBB+HmTnDLNe9rUVHra8cK/iaJCCIc6crNgouf/vxHIQPyBprx6TgQR7Wq4/BEjPt&#10;7nyi7hyMiBD2GSooQ2gyKX1ekkU/cQ1x9ArXWgxRtkbqFu8RbmuZJsm3tFhxXCixoW1J+fV8swpG&#10;h59f0xVyui9m6S13u+txYxKlhp/9ZgEiUB/e4Vf7oBWkK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swLwgAAANsAAAAPAAAAAAAAAAAAAAAAAJgCAABkcnMvZG93&#10;bnJldi54bWxQSwUGAAAAAAQABAD1AAAAhwM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1k8MAAADbAAAADwAAAGRycy9kb3ducmV2LnhtbESPQWvCQBSE74L/YXmFXqRutFJC6ioi&#10;KD14MXrp7TX7TNJm38bdNab/3hUEj8PMfMPMl71pREfO15YVTMYJCOLC6ppLBcfD5i0F4QOyxsYy&#10;KfgnD8vFcDDHTNsr76nLQykihH2GCqoQ2kxKX1Rk0I9tSxy9k3UGQ5SulNrhNcJNI6dJ8iEN1hwX&#10;KmxpXVHxl1+MgpJ+/LnvKOTf25kb/Z52OzSpUq8v/eoTRKA+PMOP9pdWMH2H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19ZPDAAAA2wAAAA8AAAAAAAAAAAAA&#10;AAAAoQIAAGRycy9kb3ducmV2LnhtbFBLBQYAAAAABAAEAPkAAACRAwAAAAA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mqMMA&#10;AADbAAAADwAAAGRycy9kb3ducmV2LnhtbESPX0sDMRDE3wW/Q1jBN5vzFCln03IIllJQ6J8HH5dk&#10;zR1eNkeyttdvbwTBx2FmfsMsVlMY1IlS7iMbuJ9VoIhtdD17A8fD690cVBZkh0NkMnChDKvl9dUC&#10;GxfPvKPTXrwqEM4NGuhExkbrbDsKmGdxJC7eZ0wBpcjktUt4LvAw6LqqnnTAnstChyO9dGS/9t/B&#10;wHa3xtqvN9Xbw4e0715sm5M15vZmap9BCU3yH/5rb5yB+hF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DmqMMAAADbAAAADwAAAAAAAAAAAAAAAACYAgAAZHJzL2Rv&#10;d25yZXYueG1sUEsFBgAAAAAEAAQA9QAAAIgD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ZMcA&#10;AADbAAAADwAAAGRycy9kb3ducmV2LnhtbESPT2vCQBTE70K/w/IKvZS6qVCtMRuR0qAHpf5pD94e&#10;2WcSzL4N2dWk394tFDwOM/MbJpn3phZXal1lWcHrMAJBnFtdcaHg+5C9vINwHlljbZkU/JKDefow&#10;SDDWtuMdXfe+EAHCLkYFpfdNLKXLSzLohrYhDt7JtgZ9kG0hdYtdgJtajqJoLA1WHBZKbOijpPy8&#10;vxgF3WY1ro7ZcZqtJ8/L3eYrKn62n0o9PfaLGQhPvb+H/9srrWD0Bn9fwg+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xgGTHAAAA2wAAAA8AAAAAAAAAAAAAAAAAmAIAAGRy&#10;cy9kb3ducmV2LnhtbFBLBQYAAAAABAAEAPUAAACMAw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n1sUA&#10;AADbAAAADwAAAGRycy9kb3ducmV2LnhtbESPT2sCMRTE74LfITzBm2YrImVrlOIf8KLotod6eyTP&#10;3W03L8sm6uqnN0LB4zAzv2Gm89ZW4kKNLx0reBsmIIi1MyXnCr6/1oN3ED4gG6wck4IbeZjPup0p&#10;psZd+UCXLOQiQtinqKAIoU6l9Logi37oauLonVxjMUTZ5NI0eI1wW8lRkkykxZLjQoE1LQrSf9nZ&#10;Ktis1vv79ud3uTvKUo+rg66zhVeq32s/P0AEasMr/N/eGAWjC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SfWxQAAANsAAAAPAAAAAAAAAAAAAAAAAJgCAABkcnMv&#10;ZG93bnJldi54bWxQSwUGAAAAAAQABAD1AAAAigM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</w:t>
      </w:r>
      <w:r w:rsidR="00473E08">
        <w:rPr>
          <w:rFonts w:ascii="Arial" w:eastAsia="Times New Roman" w:hAnsi="Arial" w:cs="Arial"/>
          <w:color w:val="000000"/>
          <w:lang w:val="ru-RU" w:eastAsia="ru-RU"/>
        </w:rPr>
        <w:t>21</w:t>
      </w:r>
      <w:r w:rsidRPr="00577919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A3376E" w:rsidRPr="00577919" w:rsidRDefault="007D21F1" w:rsidP="00665A01">
      <w:pPr>
        <w:pStyle w:val="af5"/>
        <w:widowControl w:val="0"/>
        <w:tabs>
          <w:tab w:val="left" w:pos="1134"/>
        </w:tabs>
        <w:spacing w:after="24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</w:t>
      </w:r>
      <w:r w:rsidR="00473E08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21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.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432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Концерна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</w:t>
      </w:r>
      <w:r w:rsidR="00432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состоящий </w:t>
      </w:r>
      <w:proofErr w:type="gramStart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proofErr w:type="gramEnd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10" w:name="_GoBack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1"/>
          <w:footerReference w:type="first" r:id="rId12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bookmarkEnd w:id="10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DB33A5" w:rsidRPr="002E622F" w:rsidRDefault="00DB33A5" w:rsidP="00665A01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3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288" w:rsidRDefault="00396288" w:rsidP="006B7BA4">
      <w:pPr>
        <w:spacing w:after="0" w:line="240" w:lineRule="auto"/>
      </w:pPr>
      <w:r>
        <w:separator/>
      </w:r>
    </w:p>
  </w:endnote>
  <w:endnote w:type="continuationSeparator" w:id="0">
    <w:p w:rsidR="00396288" w:rsidRDefault="00396288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336073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336073">
      <w:rPr>
        <w:rFonts w:ascii="Arial" w:hAnsi="Arial" w:cs="Arial"/>
        <w:noProof/>
        <w:sz w:val="24"/>
        <w:szCs w:val="24"/>
      </w:rPr>
      <w:t>1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288" w:rsidRDefault="00396288" w:rsidP="006B7BA4">
      <w:pPr>
        <w:spacing w:after="0" w:line="240" w:lineRule="auto"/>
      </w:pPr>
      <w:r>
        <w:separator/>
      </w:r>
    </w:p>
  </w:footnote>
  <w:footnote w:type="continuationSeparator" w:id="0">
    <w:p w:rsidR="00396288" w:rsidRDefault="00396288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4B95C0D" wp14:editId="260D1619">
                <wp:extent cx="714375" cy="619125"/>
                <wp:effectExtent l="0" t="0" r="9525" b="95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473E08" w:rsidRDefault="008A65B1" w:rsidP="00473E08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</w:t>
          </w:r>
          <w:r w:rsidR="00473E08"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21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3361E615" wp14:editId="4DC47916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473E08" w:rsidRDefault="008A65B1" w:rsidP="00473E08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</w:t>
          </w:r>
          <w:r w:rsidR="00473E08"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21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5EF9"/>
    <w:rsid w:val="001F6158"/>
    <w:rsid w:val="001F6F54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4E7D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34"/>
    <w:rsid w:val="002C3DF9"/>
    <w:rsid w:val="002C3E25"/>
    <w:rsid w:val="002C3E8F"/>
    <w:rsid w:val="002C40FF"/>
    <w:rsid w:val="002C41D0"/>
    <w:rsid w:val="002C4CCE"/>
    <w:rsid w:val="002C4E72"/>
    <w:rsid w:val="002C5022"/>
    <w:rsid w:val="002C5611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073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288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282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1E0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2E2D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1E66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3E08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4945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A01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10D4"/>
    <w:rsid w:val="006817A8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66C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43B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65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00A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647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400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45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5F8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685B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5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4E28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1ABD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12E0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2CF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6BB0A-0389-4E11-803C-CACA1BF0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Тряпицына Анна Алексеевна</cp:lastModifiedBy>
  <cp:revision>6</cp:revision>
  <cp:lastPrinted>2019-12-09T11:01:00Z</cp:lastPrinted>
  <dcterms:created xsi:type="dcterms:W3CDTF">2020-12-23T10:00:00Z</dcterms:created>
  <dcterms:modified xsi:type="dcterms:W3CDTF">2021-01-15T10:30:00Z</dcterms:modified>
</cp:coreProperties>
</file>