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25" w:rsidRDefault="00322E25" w:rsidP="00322E25">
      <w:r>
        <w:t>Контролю подлежат:</w:t>
      </w:r>
    </w:p>
    <w:p w:rsidR="00322E25" w:rsidRDefault="00322E25" w:rsidP="00322E25">
      <w:r>
        <w:t>а) все без исключения поручения, содержащиеся в протоколах заседаний Совета директоров, Правления Концерна, совещаний у генерального директора, приказах и распоряжениях генерального директора;</w:t>
      </w:r>
    </w:p>
    <w:p w:rsidR="00322E25" w:rsidRDefault="00322E25" w:rsidP="00322E25">
      <w:r>
        <w:t>б) все служебные документы с поручениями генерального директора, по которым требуются:</w:t>
      </w:r>
    </w:p>
    <w:p w:rsidR="00322E25" w:rsidRDefault="00322E25" w:rsidP="00322E25">
      <w:r>
        <w:t>- подготовка проектов писем (обращений) в органы государственной, законодательной и исполнительной власти;</w:t>
      </w:r>
    </w:p>
    <w:p w:rsidR="00322E25" w:rsidRDefault="00322E25" w:rsidP="00322E25">
      <w:r>
        <w:t>- разработка и представление в высшие органы государственной власти проектов правовых актов;</w:t>
      </w:r>
    </w:p>
    <w:p w:rsidR="00322E25" w:rsidRDefault="00322E25" w:rsidP="00322E25">
      <w:r>
        <w:t>- подготовка и представление докладов, предложений и заключений</w:t>
      </w:r>
    </w:p>
    <w:p w:rsidR="00322E25" w:rsidRDefault="00322E25" w:rsidP="00322E25">
      <w:r>
        <w:t>генеральному директору Концерна.</w:t>
      </w:r>
    </w:p>
    <w:p w:rsidR="00322E25" w:rsidRDefault="00322E25" w:rsidP="00322E25">
      <w:r>
        <w:t xml:space="preserve">5.5.3 Контроль исполнения, перечисленных в п.5.5.2 документов, устанавливает генеральный директор Концерна, а осуществляет руководитель АГД через службу </w:t>
      </w:r>
      <w:proofErr w:type="gramStart"/>
      <w:r>
        <w:t>ДО</w:t>
      </w:r>
      <w:proofErr w:type="gramEnd"/>
      <w:r>
        <w:t xml:space="preserve">, </w:t>
      </w:r>
      <w:proofErr w:type="gramStart"/>
      <w:r>
        <w:t>которая</w:t>
      </w:r>
      <w:proofErr w:type="gramEnd"/>
      <w:r>
        <w:t xml:space="preserve"> осуществляет учет контролируемых документов и контролирует своевременное внесение информации о ходе исполнения документов и поручений.</w:t>
      </w:r>
    </w:p>
    <w:p w:rsidR="00322E25" w:rsidRPr="00E8744B" w:rsidRDefault="00322E25" w:rsidP="00322E25">
      <w:pPr>
        <w:pStyle w:val="2"/>
        <w:spacing w:before="360" w:after="240"/>
        <w:ind w:left="567"/>
        <w:rPr>
          <w:sz w:val="28"/>
        </w:rPr>
      </w:pPr>
      <w:bookmarkStart w:id="0" w:name="_Ref491080281"/>
      <w:bookmarkStart w:id="1" w:name="_Toc505956519"/>
      <w:r w:rsidRPr="00E8744B">
        <w:rPr>
          <w:sz w:val="28"/>
        </w:rPr>
        <w:t>Нумерация</w:t>
      </w:r>
      <w:bookmarkEnd w:id="0"/>
      <w:bookmarkEnd w:id="1"/>
    </w:p>
    <w:p w:rsidR="00322E25" w:rsidRDefault="00322E25" w:rsidP="00322E25">
      <w:pPr>
        <w:pStyle w:val="a3"/>
        <w:spacing w:before="12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Номер должен присваиваться документу в состоянии</w:t>
      </w:r>
      <w:proofErr w:type="gramStart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Н</w:t>
      </w:r>
      <w:proofErr w:type="gramEnd"/>
      <w:r>
        <w:rPr>
          <w:rFonts w:ascii="Verdana" w:hAnsi="Verdana"/>
          <w:b/>
          <w:sz w:val="20"/>
          <w:szCs w:val="20"/>
        </w:rPr>
        <w:t xml:space="preserve">а регистрации </w:t>
      </w:r>
      <w:r w:rsidRPr="009035DB">
        <w:rPr>
          <w:rFonts w:ascii="Verdana" w:hAnsi="Verdana"/>
          <w:sz w:val="20"/>
          <w:szCs w:val="20"/>
        </w:rPr>
        <w:t xml:space="preserve">сотрудником </w:t>
      </w:r>
      <w:r>
        <w:rPr>
          <w:rFonts w:ascii="Verdana" w:hAnsi="Verdana"/>
          <w:sz w:val="20"/>
          <w:szCs w:val="20"/>
        </w:rPr>
        <w:t xml:space="preserve">ответственным за регистрацию при нажатии кнопки </w:t>
      </w:r>
      <w:r w:rsidRPr="009035DB">
        <w:rPr>
          <w:rFonts w:ascii="Verdana" w:hAnsi="Verdana"/>
          <w:sz w:val="20"/>
          <w:szCs w:val="20"/>
        </w:rPr>
        <w:t>[</w:t>
      </w:r>
      <w:r>
        <w:rPr>
          <w:rFonts w:ascii="Verdana" w:hAnsi="Verdana"/>
          <w:sz w:val="20"/>
          <w:szCs w:val="20"/>
        </w:rPr>
        <w:t>Зарегистрировать</w:t>
      </w:r>
      <w:r w:rsidRPr="009035DB">
        <w:rPr>
          <w:rFonts w:ascii="Verdana" w:hAnsi="Verdana"/>
          <w:sz w:val="20"/>
          <w:szCs w:val="20"/>
        </w:rPr>
        <w:t>]</w:t>
      </w:r>
      <w:r>
        <w:rPr>
          <w:rFonts w:ascii="Verdana" w:hAnsi="Verdana"/>
          <w:sz w:val="20"/>
          <w:szCs w:val="20"/>
        </w:rPr>
        <w:t xml:space="preserve">. Формат регистрационного номера приведен </w:t>
      </w:r>
      <w:proofErr w:type="gramStart"/>
      <w:r>
        <w:rPr>
          <w:rFonts w:ascii="Verdana" w:hAnsi="Verdana"/>
          <w:sz w:val="20"/>
          <w:szCs w:val="20"/>
        </w:rPr>
        <w:t>в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REF _Ref491032317 \h </w:instrText>
      </w:r>
      <w:r>
        <w:rPr>
          <w:rFonts w:ascii="Verdana" w:hAnsi="Verdana"/>
          <w:sz w:val="20"/>
          <w:szCs w:val="20"/>
        </w:rPr>
      </w:r>
      <w:r>
        <w:rPr>
          <w:rFonts w:ascii="Verdana" w:hAnsi="Verdana"/>
          <w:sz w:val="20"/>
          <w:szCs w:val="20"/>
        </w:rPr>
        <w:fldChar w:fldCharType="separate"/>
      </w:r>
      <w:proofErr w:type="gramStart"/>
      <w:r w:rsidRPr="00093B56">
        <w:rPr>
          <w:rFonts w:ascii="Verdana" w:hAnsi="Verdana"/>
          <w:sz w:val="20"/>
        </w:rPr>
        <w:t>Таблица</w:t>
      </w:r>
      <w:proofErr w:type="gramEnd"/>
      <w:r w:rsidRPr="00093B56">
        <w:rPr>
          <w:rFonts w:ascii="Verdana" w:hAnsi="Verdana"/>
          <w:sz w:val="20"/>
        </w:rPr>
        <w:t xml:space="preserve"> </w:t>
      </w:r>
      <w:r>
        <w:rPr>
          <w:rFonts w:ascii="Verdana" w:hAnsi="Verdana"/>
          <w:noProof/>
          <w:sz w:val="20"/>
        </w:rPr>
        <w:t>6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 xml:space="preserve">. Выделенный номер должен быть сохранен в поле </w:t>
      </w:r>
      <w:r>
        <w:rPr>
          <w:rFonts w:ascii="Verdana" w:hAnsi="Verdana"/>
          <w:b/>
          <w:sz w:val="20"/>
          <w:szCs w:val="20"/>
        </w:rPr>
        <w:t>Рег. номер</w:t>
      </w:r>
      <w:r>
        <w:rPr>
          <w:rFonts w:ascii="Verdana" w:hAnsi="Verdana"/>
          <w:sz w:val="20"/>
          <w:szCs w:val="20"/>
        </w:rPr>
        <w:t>. Нумерация в рамках вида документа и ответственного подразделения должна быть независимой. С начала года должна создаваться новая Последовательность для выделения номеров. Номер определяется по Адресату или Исполнителю.</w:t>
      </w:r>
    </w:p>
    <w:p w:rsidR="00322E25" w:rsidRPr="00484721" w:rsidRDefault="00322E25" w:rsidP="00322E25">
      <w:pPr>
        <w:pStyle w:val="a5"/>
        <w:keepNext/>
        <w:spacing w:before="120" w:after="120" w:line="276" w:lineRule="auto"/>
        <w:ind w:left="1077"/>
        <w:jc w:val="right"/>
        <w:rPr>
          <w:rFonts w:ascii="Verdana" w:hAnsi="Verdana"/>
          <w:sz w:val="20"/>
          <w:lang w:val="en-US"/>
        </w:rPr>
      </w:pPr>
      <w:bookmarkStart w:id="2" w:name="_Ref491032317"/>
      <w:r w:rsidRPr="00093B56">
        <w:rPr>
          <w:rFonts w:ascii="Verdana" w:hAnsi="Verdana"/>
          <w:sz w:val="20"/>
        </w:rPr>
        <w:t xml:space="preserve">Таблица </w:t>
      </w:r>
      <w:r w:rsidRPr="00093B56">
        <w:rPr>
          <w:rFonts w:ascii="Verdana" w:hAnsi="Verdana"/>
          <w:sz w:val="20"/>
        </w:rPr>
        <w:fldChar w:fldCharType="begin"/>
      </w:r>
      <w:r w:rsidRPr="00093B56">
        <w:rPr>
          <w:rFonts w:ascii="Verdana" w:hAnsi="Verdana"/>
          <w:sz w:val="20"/>
        </w:rPr>
        <w:instrText xml:space="preserve"> SEQ Таблица \* ARABIC </w:instrText>
      </w:r>
      <w:r w:rsidRPr="00093B56">
        <w:rPr>
          <w:rFonts w:ascii="Verdana" w:hAnsi="Verdana"/>
          <w:sz w:val="20"/>
        </w:rPr>
        <w:fldChar w:fldCharType="separate"/>
      </w:r>
      <w:r>
        <w:rPr>
          <w:rFonts w:ascii="Verdana" w:hAnsi="Verdana"/>
          <w:noProof/>
          <w:sz w:val="20"/>
        </w:rPr>
        <w:t>6</w:t>
      </w:r>
      <w:r w:rsidRPr="00093B56">
        <w:rPr>
          <w:rFonts w:ascii="Verdana" w:hAnsi="Verdana"/>
          <w:sz w:val="20"/>
        </w:rPr>
        <w:fldChar w:fldCharType="end"/>
      </w:r>
      <w:bookmarkEnd w:id="2"/>
    </w:p>
    <w:tbl>
      <w:tblPr>
        <w:tblStyle w:val="-11"/>
        <w:tblW w:w="5000" w:type="pct"/>
        <w:tblLook w:val="0600" w:firstRow="0" w:lastRow="0" w:firstColumn="0" w:lastColumn="0" w:noHBand="1" w:noVBand="1"/>
      </w:tblPr>
      <w:tblGrid>
        <w:gridCol w:w="3192"/>
        <w:gridCol w:w="1466"/>
        <w:gridCol w:w="1196"/>
        <w:gridCol w:w="664"/>
        <w:gridCol w:w="666"/>
        <w:gridCol w:w="2387"/>
      </w:tblGrid>
      <w:tr w:rsidR="00322E25" w:rsidRPr="0068068E" w:rsidTr="0029463A">
        <w:trPr>
          <w:trHeight w:val="454"/>
        </w:trPr>
        <w:tc>
          <w:tcPr>
            <w:tcW w:w="1667" w:type="pct"/>
          </w:tcPr>
          <w:p w:rsidR="00322E25" w:rsidRPr="0068068E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8068E">
              <w:rPr>
                <w:rFonts w:ascii="Verdana" w:hAnsi="Verdana"/>
                <w:b/>
                <w:sz w:val="20"/>
                <w:szCs w:val="20"/>
              </w:rPr>
              <w:t>Вид документа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Префикс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Номер</w:t>
            </w:r>
          </w:p>
        </w:tc>
        <w:tc>
          <w:tcPr>
            <w:tcW w:w="695" w:type="pct"/>
            <w:gridSpan w:val="2"/>
          </w:tcPr>
          <w:p w:rsidR="00322E25" w:rsidRPr="0068068E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Суффикс</w:t>
            </w:r>
          </w:p>
        </w:tc>
        <w:tc>
          <w:tcPr>
            <w:tcW w:w="1247" w:type="pct"/>
          </w:tcPr>
          <w:p w:rsidR="00322E25" w:rsidRPr="0068068E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Пример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6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Служебная записка</w:t>
            </w:r>
          </w:p>
          <w:p w:rsidR="00322E25" w:rsidRDefault="00322E25" w:rsidP="0029463A">
            <w:pPr>
              <w:pStyle w:val="AllText"/>
              <w:spacing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Докладная записка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(Адресат равен ГД)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5" w:type="pct"/>
          </w:tcPr>
          <w:p w:rsidR="00322E25" w:rsidRPr="00DE0574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Pr="00812658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вн</w:t>
            </w:r>
            <w:proofErr w:type="spellEnd"/>
          </w:p>
        </w:tc>
        <w:tc>
          <w:tcPr>
            <w:tcW w:w="1247" w:type="pct"/>
          </w:tcPr>
          <w:p w:rsidR="00322E25" w:rsidRPr="00DE0574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вн</w:t>
            </w:r>
            <w:proofErr w:type="spell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6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Служебная записка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(Адресат не равен ГД)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XX</w:t>
            </w:r>
          </w:p>
        </w:tc>
        <w:tc>
          <w:tcPr>
            <w:tcW w:w="625" w:type="pct"/>
          </w:tcPr>
          <w:p w:rsidR="00322E25" w:rsidRPr="00DE0574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СЗ</w:t>
            </w: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01-123/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сз</w:t>
            </w:r>
            <w:proofErr w:type="spell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6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Докладная записка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(Адресат не равен ГД)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XX</w:t>
            </w:r>
          </w:p>
        </w:tc>
        <w:tc>
          <w:tcPr>
            <w:tcW w:w="625" w:type="pct"/>
          </w:tcPr>
          <w:p w:rsidR="00322E25" w:rsidRPr="00DE0574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ДЗ</w:t>
            </w: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01-123/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дз</w:t>
            </w:r>
            <w:proofErr w:type="spell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Технические задания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ТЗ</w:t>
            </w: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123/ТЗ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Служебные задания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(только для архива и миграции, вид не доступен для создания новых документов)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XX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З</w:t>
            </w:r>
            <w:proofErr w:type="gramEnd"/>
          </w:p>
        </w:tc>
        <w:tc>
          <w:tcPr>
            <w:tcW w:w="1247" w:type="pct"/>
          </w:tcPr>
          <w:p w:rsidR="00322E25" w:rsidRPr="00DA4401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</w:rPr>
              <w:t>01-123/з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Pr="0068068E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Акт</w:t>
            </w:r>
          </w:p>
        </w:tc>
        <w:tc>
          <w:tcPr>
            <w:tcW w:w="766" w:type="pct"/>
          </w:tcPr>
          <w:p w:rsidR="00322E25" w:rsidRPr="00E12FCA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trike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</w:tcPr>
          <w:p w:rsidR="00322E25" w:rsidRPr="0068068E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Pr="00046DCB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Акт</w:t>
            </w:r>
          </w:p>
        </w:tc>
        <w:tc>
          <w:tcPr>
            <w:tcW w:w="1247" w:type="pct"/>
          </w:tcPr>
          <w:p w:rsidR="00322E25" w:rsidRPr="00046DCB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123/Акт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Протокол </w:t>
            </w:r>
          </w:p>
        </w:tc>
        <w:tc>
          <w:tcPr>
            <w:tcW w:w="766" w:type="pct"/>
          </w:tcPr>
          <w:p w:rsidR="00322E25" w:rsidRPr="00E12FCA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trike/>
                <w:sz w:val="20"/>
                <w:szCs w:val="20"/>
                <w:lang w:val="en-US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ПР-123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Протокол совещания ГД</w:t>
            </w:r>
          </w:p>
        </w:tc>
        <w:tc>
          <w:tcPr>
            <w:tcW w:w="766" w:type="pct"/>
          </w:tcPr>
          <w:p w:rsidR="00322E25" w:rsidRPr="00F600D0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ГД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ГД-123/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Протокол совещания ЗГД</w:t>
            </w:r>
          </w:p>
        </w:tc>
        <w:tc>
          <w:tcPr>
            <w:tcW w:w="766" w:type="pct"/>
          </w:tcPr>
          <w:p w:rsidR="00322E25" w:rsidRPr="00F600D0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ЗГД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ЗГД-123/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Протокол Совета Директоров</w:t>
            </w:r>
          </w:p>
        </w:tc>
        <w:tc>
          <w:tcPr>
            <w:tcW w:w="766" w:type="pct"/>
          </w:tcPr>
          <w:p w:rsidR="00322E25" w:rsidRPr="00F600D0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СД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СД-123/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Протокол Правления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ПВ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ПВ-123/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Протокол совещания НТС</w:t>
            </w:r>
          </w:p>
        </w:tc>
        <w:tc>
          <w:tcPr>
            <w:tcW w:w="766" w:type="pct"/>
          </w:tcPr>
          <w:p w:rsidR="00322E25" w:rsidRPr="00F600D0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НТС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НТС-123/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Протокол совещания КС</w:t>
            </w:r>
          </w:p>
        </w:tc>
        <w:tc>
          <w:tcPr>
            <w:tcW w:w="766" w:type="pct"/>
          </w:tcPr>
          <w:p w:rsidR="00322E25" w:rsidRPr="00F600D0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КС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КС-123/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Протокол совещания РГ</w:t>
            </w:r>
          </w:p>
        </w:tc>
        <w:tc>
          <w:tcPr>
            <w:tcW w:w="766" w:type="pct"/>
          </w:tcPr>
          <w:p w:rsidR="00322E25" w:rsidRPr="00F600D0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РГ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РГ-123/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Протокол комиссии</w:t>
            </w:r>
          </w:p>
        </w:tc>
        <w:tc>
          <w:tcPr>
            <w:tcW w:w="766" w:type="pct"/>
          </w:tcPr>
          <w:p w:rsidR="00322E25" w:rsidRPr="00F600D0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К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К-123/</w:t>
            </w:r>
            <w:proofErr w:type="spellStart"/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spellEnd"/>
            <w:proofErr w:type="gram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Протокол оперативного совещания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XX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ос</w:t>
            </w: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01-123/ос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Протокол производственного совещания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>XX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пс</w:t>
            </w:r>
            <w:proofErr w:type="spellEnd"/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ПР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01-123/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пс</w:t>
            </w:r>
            <w:proofErr w:type="spellEnd"/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Приказ по основной деятельности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ПК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ПК-123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Распоряжение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Р-123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 w:rsidRPr="00D148F2">
              <w:rPr>
                <w:rFonts w:ascii="Verdana" w:hAnsi="Verdana"/>
                <w:sz w:val="20"/>
                <w:szCs w:val="20"/>
              </w:rPr>
              <w:t>Поручени</w:t>
            </w:r>
            <w:r>
              <w:rPr>
                <w:rFonts w:ascii="Verdana" w:hAnsi="Verdana"/>
                <w:sz w:val="20"/>
                <w:szCs w:val="20"/>
              </w:rPr>
              <w:t>е</w:t>
            </w:r>
            <w:r w:rsidRPr="00D148F2">
              <w:rPr>
                <w:rFonts w:ascii="Verdana" w:hAnsi="Verdana"/>
                <w:sz w:val="20"/>
                <w:szCs w:val="20"/>
              </w:rPr>
              <w:t xml:space="preserve"> Генерального директора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АА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ГД</w:t>
            </w: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АА-123/ГД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Pr="00D148F2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Поручение ГД (напоминание)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АА</w:t>
            </w: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н/ГД</w:t>
            </w: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АА-123-н/ГД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Доверенность</w:t>
            </w:r>
          </w:p>
        </w:tc>
        <w:tc>
          <w:tcPr>
            <w:tcW w:w="766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5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ДВ</w:t>
            </w: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1/ДВ</w:t>
            </w:r>
          </w:p>
        </w:tc>
      </w:tr>
      <w:tr w:rsidR="00322E25" w:rsidRPr="0068068E" w:rsidTr="0029463A">
        <w:tc>
          <w:tcPr>
            <w:tcW w:w="5000" w:type="pct"/>
            <w:gridSpan w:val="6"/>
          </w:tcPr>
          <w:p w:rsidR="00322E25" w:rsidRPr="003A348A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Единая нумерация общим нарастающим итогом. Разные нумераторы в зависимости от типа конфиденциальности и типа материального носителя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Инвентарный учёт: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(документы, не являющиеся ДОД)</w:t>
            </w:r>
          </w:p>
        </w:tc>
        <w:tc>
          <w:tcPr>
            <w:tcW w:w="766" w:type="pct"/>
            <w:vMerge w:val="restart"/>
            <w:vAlign w:val="center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ИНВ</w:t>
            </w:r>
            <w:proofErr w:type="gramEnd"/>
          </w:p>
        </w:tc>
        <w:tc>
          <w:tcPr>
            <w:tcW w:w="625" w:type="pct"/>
            <w:vMerge w:val="restart"/>
            <w:vAlign w:val="center"/>
          </w:tcPr>
          <w:p w:rsidR="00322E25" w:rsidRPr="00EE13DC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N</w:t>
            </w: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ИНВ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1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(ДОД)</w:t>
            </w:r>
          </w:p>
        </w:tc>
        <w:tc>
          <w:tcPr>
            <w:tcW w:w="766" w:type="pct"/>
            <w:vMerge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5" w:type="pct"/>
            <w:vMerge/>
          </w:tcPr>
          <w:p w:rsidR="00322E25" w:rsidRPr="003A348A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95" w:type="pct"/>
            <w:gridSpan w:val="2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ДСП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К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КТ</w:t>
            </w: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ИНВ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1/ДСП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ИНВ 2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/К</w:t>
            </w:r>
            <w:proofErr w:type="gramEnd"/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ИНВ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3/КТ</w:t>
            </w:r>
          </w:p>
        </w:tc>
      </w:tr>
      <w:tr w:rsidR="00322E25" w:rsidRPr="0068068E" w:rsidTr="0029463A">
        <w:tc>
          <w:tcPr>
            <w:tcW w:w="166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(внешние носители информации: магнитные накопители, жесткие диски,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флеш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-накопители)</w:t>
            </w:r>
          </w:p>
        </w:tc>
        <w:tc>
          <w:tcPr>
            <w:tcW w:w="766" w:type="pct"/>
            <w:vMerge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25" w:type="pct"/>
            <w:vMerge/>
          </w:tcPr>
          <w:p w:rsidR="00322E25" w:rsidRPr="003A348A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7" w:type="pct"/>
            <w:vAlign w:val="center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СД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ЖД</w:t>
            </w:r>
          </w:p>
          <w:p w:rsidR="00322E25" w:rsidRPr="00D37C53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FD</w:t>
            </w:r>
          </w:p>
        </w:tc>
        <w:tc>
          <w:tcPr>
            <w:tcW w:w="348" w:type="pct"/>
            <w:vAlign w:val="center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ДСП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К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КТ</w:t>
            </w:r>
          </w:p>
        </w:tc>
        <w:tc>
          <w:tcPr>
            <w:tcW w:w="1247" w:type="pct"/>
          </w:tcPr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ИНВ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1/СД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ИНВ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2/МН/ДСП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ИНВ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3/ЖД</w:t>
            </w:r>
          </w:p>
          <w:p w:rsidR="00322E25" w:rsidRDefault="00322E25" w:rsidP="0029463A">
            <w:pPr>
              <w:pStyle w:val="AllText"/>
              <w:spacing w:before="120" w:line="240" w:lineRule="auto"/>
              <w:ind w:firstLine="0"/>
              <w:jc w:val="center"/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ИНВ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4/FD/КТ</w:t>
            </w:r>
          </w:p>
        </w:tc>
      </w:tr>
    </w:tbl>
    <w:p w:rsidR="00322E25" w:rsidRDefault="00322E25" w:rsidP="00322E25">
      <w:bookmarkStart w:id="3" w:name="_GoBack"/>
      <w:bookmarkEnd w:id="3"/>
    </w:p>
    <w:sectPr w:rsidR="00322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25"/>
    <w:rsid w:val="00322E25"/>
    <w:rsid w:val="00683C52"/>
    <w:rsid w:val="006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9"/>
    <w:unhideWhenUsed/>
    <w:qFormat/>
    <w:rsid w:val="00322E25"/>
    <w:pPr>
      <w:numPr>
        <w:ilvl w:val="1"/>
        <w:numId w:val="1"/>
      </w:numPr>
      <w:spacing w:before="200"/>
      <w:outlineLvl w:val="1"/>
    </w:pPr>
    <w:rPr>
      <w:rFonts w:ascii="Verdana" w:hAnsi="Verdana"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322E25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322E25"/>
    <w:pPr>
      <w:keepNext/>
      <w:keepLines/>
      <w:numPr>
        <w:ilvl w:val="3"/>
        <w:numId w:val="1"/>
      </w:numPr>
      <w:spacing w:before="200" w:after="0"/>
      <w:outlineLvl w:val="4"/>
    </w:pPr>
    <w:rPr>
      <w:rFonts w:ascii="Verdana" w:eastAsiaTheme="majorEastAsia" w:hAnsi="Verdana" w:cstheme="majorBidi"/>
      <w:b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322E25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322E25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322E25"/>
    <w:rPr>
      <w:rFonts w:ascii="Verdana" w:eastAsiaTheme="majorEastAsia" w:hAnsi="Verdana" w:cstheme="majorBidi"/>
      <w:b/>
      <w:i/>
      <w:sz w:val="20"/>
    </w:rPr>
  </w:style>
  <w:style w:type="paragraph" w:styleId="a3">
    <w:name w:val="No Spacing"/>
    <w:link w:val="a4"/>
    <w:uiPriority w:val="1"/>
    <w:qFormat/>
    <w:rsid w:val="00322E25"/>
    <w:pPr>
      <w:spacing w:after="0" w:line="240" w:lineRule="auto"/>
    </w:pPr>
  </w:style>
  <w:style w:type="paragraph" w:customStyle="1" w:styleId="a5">
    <w:name w:val="Базовый"/>
    <w:basedOn w:val="a"/>
    <w:link w:val="a6"/>
    <w:qFormat/>
    <w:rsid w:val="00322E25"/>
    <w:pPr>
      <w:spacing w:after="60" w:line="240" w:lineRule="auto"/>
      <w:jc w:val="both"/>
    </w:pPr>
    <w:rPr>
      <w:rFonts w:ascii="Calibri" w:eastAsia="Times New Roman" w:hAnsi="Calibri" w:cs="Times New Roman"/>
      <w:szCs w:val="24"/>
      <w:lang w:eastAsia="ru-RU"/>
    </w:rPr>
  </w:style>
  <w:style w:type="character" w:customStyle="1" w:styleId="a6">
    <w:name w:val="Базовый Знак"/>
    <w:basedOn w:val="a0"/>
    <w:link w:val="a5"/>
    <w:rsid w:val="00322E25"/>
    <w:rPr>
      <w:rFonts w:ascii="Calibri" w:eastAsia="Times New Roman" w:hAnsi="Calibri" w:cs="Times New Roman"/>
      <w:szCs w:val="24"/>
      <w:lang w:eastAsia="ru-RU"/>
    </w:rPr>
  </w:style>
  <w:style w:type="table" w:customStyle="1" w:styleId="-11">
    <w:name w:val="Таблица-сетка 1 светлая1"/>
    <w:basedOn w:val="a1"/>
    <w:uiPriority w:val="46"/>
    <w:rsid w:val="00322E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llText">
    <w:name w:val="AllText"/>
    <w:basedOn w:val="a"/>
    <w:link w:val="AllText0"/>
    <w:rsid w:val="00322E25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322E2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22E25"/>
  </w:style>
  <w:style w:type="character" w:customStyle="1" w:styleId="10">
    <w:name w:val="Заголовок 1 Знак"/>
    <w:basedOn w:val="a0"/>
    <w:link w:val="1"/>
    <w:uiPriority w:val="9"/>
    <w:rsid w:val="00322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9"/>
    <w:unhideWhenUsed/>
    <w:qFormat/>
    <w:rsid w:val="00322E25"/>
    <w:pPr>
      <w:numPr>
        <w:ilvl w:val="1"/>
        <w:numId w:val="1"/>
      </w:numPr>
      <w:spacing w:before="200"/>
      <w:outlineLvl w:val="1"/>
    </w:pPr>
    <w:rPr>
      <w:rFonts w:ascii="Verdana" w:hAnsi="Verdana"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322E25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322E25"/>
    <w:pPr>
      <w:keepNext/>
      <w:keepLines/>
      <w:numPr>
        <w:ilvl w:val="3"/>
        <w:numId w:val="1"/>
      </w:numPr>
      <w:spacing w:before="200" w:after="0"/>
      <w:outlineLvl w:val="4"/>
    </w:pPr>
    <w:rPr>
      <w:rFonts w:ascii="Verdana" w:eastAsiaTheme="majorEastAsia" w:hAnsi="Verdana" w:cstheme="majorBidi"/>
      <w:b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322E25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322E25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322E25"/>
    <w:rPr>
      <w:rFonts w:ascii="Verdana" w:eastAsiaTheme="majorEastAsia" w:hAnsi="Verdana" w:cstheme="majorBidi"/>
      <w:b/>
      <w:i/>
      <w:sz w:val="20"/>
    </w:rPr>
  </w:style>
  <w:style w:type="paragraph" w:styleId="a3">
    <w:name w:val="No Spacing"/>
    <w:link w:val="a4"/>
    <w:uiPriority w:val="1"/>
    <w:qFormat/>
    <w:rsid w:val="00322E25"/>
    <w:pPr>
      <w:spacing w:after="0" w:line="240" w:lineRule="auto"/>
    </w:pPr>
  </w:style>
  <w:style w:type="paragraph" w:customStyle="1" w:styleId="a5">
    <w:name w:val="Базовый"/>
    <w:basedOn w:val="a"/>
    <w:link w:val="a6"/>
    <w:qFormat/>
    <w:rsid w:val="00322E25"/>
    <w:pPr>
      <w:spacing w:after="60" w:line="240" w:lineRule="auto"/>
      <w:jc w:val="both"/>
    </w:pPr>
    <w:rPr>
      <w:rFonts w:ascii="Calibri" w:eastAsia="Times New Roman" w:hAnsi="Calibri" w:cs="Times New Roman"/>
      <w:szCs w:val="24"/>
      <w:lang w:eastAsia="ru-RU"/>
    </w:rPr>
  </w:style>
  <w:style w:type="character" w:customStyle="1" w:styleId="a6">
    <w:name w:val="Базовый Знак"/>
    <w:basedOn w:val="a0"/>
    <w:link w:val="a5"/>
    <w:rsid w:val="00322E25"/>
    <w:rPr>
      <w:rFonts w:ascii="Calibri" w:eastAsia="Times New Roman" w:hAnsi="Calibri" w:cs="Times New Roman"/>
      <w:szCs w:val="24"/>
      <w:lang w:eastAsia="ru-RU"/>
    </w:rPr>
  </w:style>
  <w:style w:type="table" w:customStyle="1" w:styleId="-11">
    <w:name w:val="Таблица-сетка 1 светлая1"/>
    <w:basedOn w:val="a1"/>
    <w:uiPriority w:val="46"/>
    <w:rsid w:val="00322E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llText">
    <w:name w:val="AllText"/>
    <w:basedOn w:val="a"/>
    <w:link w:val="AllText0"/>
    <w:rsid w:val="00322E25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322E2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22E25"/>
  </w:style>
  <w:style w:type="character" w:customStyle="1" w:styleId="10">
    <w:name w:val="Заголовок 1 Знак"/>
    <w:basedOn w:val="a0"/>
    <w:link w:val="1"/>
    <w:uiPriority w:val="9"/>
    <w:rsid w:val="00322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Анна К.</cp:lastModifiedBy>
  <cp:revision>1</cp:revision>
  <dcterms:created xsi:type="dcterms:W3CDTF">2018-09-18T08:19:00Z</dcterms:created>
  <dcterms:modified xsi:type="dcterms:W3CDTF">2018-09-18T08:21:00Z</dcterms:modified>
</cp:coreProperties>
</file>