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B0" w:rsidRPr="000D3BB7" w:rsidRDefault="000E1BB0" w:rsidP="000D3BB7">
      <w:pPr>
        <w:spacing w:after="6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0E1BB0" w:rsidRPr="000D3BB7" w:rsidRDefault="000E1BB0" w:rsidP="000D3BB7">
      <w:pPr>
        <w:spacing w:after="6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0D3BB7" w:rsidRPr="000D3BB7" w:rsidRDefault="000D3BB7" w:rsidP="000D3BB7">
      <w:pPr>
        <w:spacing w:after="6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0D3BB7" w:rsidRPr="000D3BB7" w:rsidRDefault="000D3BB7" w:rsidP="000D3BB7">
      <w:pPr>
        <w:spacing w:after="6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0D3BB7" w:rsidRPr="000D3BB7" w:rsidRDefault="000D3BB7" w:rsidP="000D3BB7">
      <w:pPr>
        <w:spacing w:after="6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0D3BB7" w:rsidRPr="000D3BB7" w:rsidRDefault="000D3BB7" w:rsidP="000D3BB7">
      <w:pPr>
        <w:spacing w:after="6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0D3BB7" w:rsidRPr="000D3BB7" w:rsidRDefault="000D3BB7" w:rsidP="000D3BB7">
      <w:pPr>
        <w:spacing w:after="6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0D3BB7" w:rsidRPr="000D3BB7" w:rsidRDefault="000D3BB7" w:rsidP="000D3BB7">
      <w:pPr>
        <w:spacing w:after="6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0D3BB7" w:rsidRPr="000D3BB7" w:rsidRDefault="000D3BB7" w:rsidP="000D3BB7">
      <w:pPr>
        <w:spacing w:after="6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0D3BB7" w:rsidRPr="000D3BB7" w:rsidRDefault="000D3BB7" w:rsidP="000D3BB7">
      <w:pPr>
        <w:spacing w:after="60" w:line="240" w:lineRule="auto"/>
        <w:jc w:val="center"/>
        <w:rPr>
          <w:rFonts w:ascii="Times New Roman" w:hAnsi="Times New Roman" w:cs="Times New Roman"/>
          <w:caps/>
          <w:sz w:val="32"/>
          <w:szCs w:val="32"/>
        </w:rPr>
      </w:pPr>
    </w:p>
    <w:p w:rsidR="000E1BB0" w:rsidRPr="009C3E96" w:rsidRDefault="009C3E96" w:rsidP="009C3E96">
      <w:pPr>
        <w:pStyle w:val="-"/>
        <w:ind w:firstLine="0"/>
        <w:rPr>
          <w:caps w:val="0"/>
          <w:sz w:val="32"/>
          <w:szCs w:val="32"/>
        </w:rPr>
      </w:pPr>
      <w:r w:rsidRPr="009C3E96">
        <w:rPr>
          <w:caps w:val="0"/>
          <w:sz w:val="32"/>
          <w:szCs w:val="32"/>
        </w:rPr>
        <w:t xml:space="preserve">ДОЛГОСРОЧНАЯ ПРОГРАММА РАЗВИТИЯ </w:t>
      </w:r>
    </w:p>
    <w:p w:rsidR="000E1BB0" w:rsidRPr="009C3E96" w:rsidRDefault="00F13ED3" w:rsidP="000D3BB7">
      <w:pPr>
        <w:spacing w:before="120"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АО «ГПТП «Гранит»</w:t>
      </w:r>
    </w:p>
    <w:p w:rsidR="000E1BB0" w:rsidRPr="00CE730B" w:rsidRDefault="007C7D55" w:rsidP="000D3BB7">
      <w:pPr>
        <w:spacing w:before="120"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 период до 2023</w:t>
      </w:r>
      <w:r w:rsidR="000E1BB0" w:rsidRPr="00CE730B">
        <w:rPr>
          <w:rFonts w:ascii="Times New Roman" w:hAnsi="Times New Roman" w:cs="Times New Roman"/>
          <w:b/>
          <w:sz w:val="32"/>
          <w:szCs w:val="32"/>
        </w:rPr>
        <w:t xml:space="preserve"> года</w:t>
      </w:r>
    </w:p>
    <w:p w:rsidR="000E1BB0" w:rsidRPr="000D3BB7" w:rsidRDefault="000E1BB0" w:rsidP="000E1BB0">
      <w:pPr>
        <w:pStyle w:val="-0"/>
        <w:spacing w:before="0"/>
        <w:ind w:firstLine="0"/>
        <w:rPr>
          <w:rFonts w:cs="Times New Roman"/>
          <w:spacing w:val="0"/>
          <w:sz w:val="32"/>
          <w:szCs w:val="32"/>
        </w:rPr>
      </w:pPr>
    </w:p>
    <w:p w:rsidR="000D3BB7" w:rsidRPr="000D3BB7" w:rsidRDefault="000D3BB7" w:rsidP="000E1BB0">
      <w:pPr>
        <w:pStyle w:val="-0"/>
        <w:spacing w:before="0"/>
        <w:ind w:firstLine="0"/>
        <w:rPr>
          <w:rFonts w:cs="Times New Roman"/>
          <w:spacing w:val="0"/>
          <w:sz w:val="32"/>
          <w:szCs w:val="32"/>
        </w:rPr>
      </w:pPr>
    </w:p>
    <w:p w:rsidR="000D3BB7" w:rsidRPr="000D3BB7" w:rsidRDefault="000D3BB7" w:rsidP="000E1BB0">
      <w:pPr>
        <w:pStyle w:val="-0"/>
        <w:spacing w:before="0"/>
        <w:ind w:firstLine="0"/>
        <w:rPr>
          <w:rFonts w:cs="Times New Roman"/>
          <w:spacing w:val="0"/>
          <w:sz w:val="32"/>
          <w:szCs w:val="32"/>
        </w:rPr>
      </w:pPr>
    </w:p>
    <w:p w:rsidR="009C3E96" w:rsidRPr="00CE730B" w:rsidRDefault="000E1BB0" w:rsidP="000D3BB7">
      <w:pPr>
        <w:pStyle w:val="-0"/>
        <w:spacing w:before="0"/>
        <w:ind w:firstLine="0"/>
        <w:rPr>
          <w:rFonts w:cs="Times New Roman"/>
          <w:spacing w:val="0"/>
          <w:sz w:val="32"/>
          <w:szCs w:val="32"/>
        </w:rPr>
      </w:pPr>
      <w:r w:rsidRPr="00CE730B">
        <w:rPr>
          <w:rFonts w:cs="Times New Roman"/>
          <w:spacing w:val="0"/>
          <w:sz w:val="32"/>
          <w:szCs w:val="32"/>
        </w:rPr>
        <w:t xml:space="preserve">РИСКИ РЕАЛИЗАЦИИ </w:t>
      </w:r>
      <w:r w:rsidRPr="00CE730B">
        <w:rPr>
          <w:rFonts w:cs="Times New Roman"/>
          <w:spacing w:val="0"/>
          <w:sz w:val="32"/>
          <w:szCs w:val="32"/>
        </w:rPr>
        <w:br/>
      </w:r>
      <w:r w:rsidR="009C3E96">
        <w:rPr>
          <w:rFonts w:cs="Times New Roman"/>
          <w:spacing w:val="0"/>
          <w:sz w:val="32"/>
          <w:szCs w:val="32"/>
        </w:rPr>
        <w:t>ДОЛГОСРОЧНОЙ ПРОГРАММЫ РАЗВИТИЯ</w:t>
      </w:r>
    </w:p>
    <w:p w:rsidR="000E1BB0" w:rsidRPr="00CE730B" w:rsidRDefault="000E1BB0" w:rsidP="000E1BB0">
      <w:pPr>
        <w:pStyle w:val="-0"/>
        <w:spacing w:before="0"/>
        <w:ind w:firstLine="0"/>
        <w:rPr>
          <w:rFonts w:cs="Times New Roman"/>
          <w:spacing w:val="0"/>
          <w:sz w:val="32"/>
          <w:szCs w:val="32"/>
        </w:rPr>
      </w:pPr>
    </w:p>
    <w:p w:rsidR="000E1BB0" w:rsidRPr="000D3BB7" w:rsidRDefault="000E1BB0" w:rsidP="000E1BB0">
      <w:pPr>
        <w:pStyle w:val="-"/>
        <w:ind w:firstLine="0"/>
        <w:rPr>
          <w:rFonts w:cs="Times New Roman"/>
          <w:b w:val="0"/>
          <w:caps w:val="0"/>
          <w:color w:val="FF0000"/>
          <w:sz w:val="32"/>
          <w:szCs w:val="32"/>
        </w:rPr>
      </w:pPr>
    </w:p>
    <w:p w:rsidR="009C3E96" w:rsidRPr="000D3BB7" w:rsidRDefault="009C3E96" w:rsidP="000E1BB0">
      <w:pPr>
        <w:pStyle w:val="-"/>
        <w:ind w:firstLine="0"/>
        <w:rPr>
          <w:rFonts w:cs="Times New Roman"/>
          <w:b w:val="0"/>
          <w:caps w:val="0"/>
          <w:color w:val="FF0000"/>
          <w:sz w:val="32"/>
          <w:szCs w:val="32"/>
        </w:rPr>
      </w:pPr>
    </w:p>
    <w:p w:rsidR="000E1BB0" w:rsidRPr="00CE730B" w:rsidRDefault="009C3E96" w:rsidP="000E1BB0">
      <w:pPr>
        <w:pStyle w:val="-"/>
        <w:ind w:firstLine="0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caps w:val="0"/>
          <w:sz w:val="28"/>
          <w:szCs w:val="28"/>
        </w:rPr>
        <w:t>Редакция 1.0</w:t>
      </w:r>
    </w:p>
    <w:p w:rsidR="000E1BB0" w:rsidRPr="000D3BB7" w:rsidRDefault="000E1BB0" w:rsidP="000D3BB7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1BB0" w:rsidRPr="000D3BB7" w:rsidRDefault="000E1BB0" w:rsidP="000D3BB7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1BB0" w:rsidRPr="000D3BB7" w:rsidRDefault="000E1BB0" w:rsidP="000D3BB7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1BB0" w:rsidRPr="000D3BB7" w:rsidRDefault="000E1BB0" w:rsidP="000D3BB7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1BB0" w:rsidRPr="000D3BB7" w:rsidRDefault="000E1BB0" w:rsidP="000D3BB7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33D0" w:rsidRPr="000D3BB7" w:rsidRDefault="00BD33D0" w:rsidP="000D3BB7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112C7" w:rsidRDefault="00A112C7" w:rsidP="000D3BB7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5720" w:rsidRDefault="00145720" w:rsidP="000D3BB7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45720" w:rsidRPr="000D3BB7" w:rsidRDefault="00145720" w:rsidP="000D3BB7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87803" w:rsidRDefault="000E1BB0" w:rsidP="004E54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D1E">
        <w:rPr>
          <w:rFonts w:ascii="Times New Roman" w:hAnsi="Times New Roman" w:cs="Times New Roman"/>
          <w:b/>
          <w:sz w:val="28"/>
          <w:szCs w:val="28"/>
        </w:rPr>
        <w:t>Москва, 201</w:t>
      </w:r>
      <w:r w:rsidR="007C7D55">
        <w:rPr>
          <w:rFonts w:ascii="Times New Roman" w:hAnsi="Times New Roman" w:cs="Times New Roman"/>
          <w:b/>
          <w:sz w:val="28"/>
          <w:szCs w:val="28"/>
        </w:rPr>
        <w:t>9</w:t>
      </w:r>
      <w:r w:rsidRPr="00A63D1E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487803" w:rsidRDefault="004878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00A27" w:rsidRPr="00145720" w:rsidRDefault="00A34163" w:rsidP="00145720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F547C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5931461</wp:posOffset>
                </wp:positionH>
                <wp:positionV relativeFrom="paragraph">
                  <wp:posOffset>702945</wp:posOffset>
                </wp:positionV>
                <wp:extent cx="360218" cy="138546"/>
                <wp:effectExtent l="0" t="0" r="1905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138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F67BE" id="Прямоугольник 1" o:spid="_x0000_s1026" style="position:absolute;margin-left:467.05pt;margin-top:55.35pt;width:28.35pt;height:10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" fillcolor="white [3212]" stroked="f" strokeweight="2pt"/>
            </w:pict>
          </mc:Fallback>
        </mc:AlternateContent>
      </w:r>
    </w:p>
    <w:p w:rsidR="000E1BB0" w:rsidRPr="00590F00" w:rsidRDefault="000E1BB0" w:rsidP="000E1BB0">
      <w:pPr>
        <w:spacing w:before="480"/>
        <w:jc w:val="center"/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 w:rsidRPr="00590F00">
        <w:rPr>
          <w:rFonts w:ascii="Times New Roman" w:eastAsiaTheme="majorEastAsia" w:hAnsi="Times New Roman" w:cs="Times New Roman"/>
          <w:b/>
          <w:bCs/>
          <w:sz w:val="40"/>
          <w:szCs w:val="40"/>
        </w:rPr>
        <w:t>Список сокращений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3"/>
        <w:gridCol w:w="8399"/>
      </w:tblGrid>
      <w:tr w:rsidR="00F663DE" w:rsidRPr="00590F00" w:rsidTr="00F00A27">
        <w:trPr>
          <w:jc w:val="center"/>
        </w:trPr>
        <w:tc>
          <w:tcPr>
            <w:tcW w:w="1171" w:type="dxa"/>
          </w:tcPr>
          <w:p w:rsidR="00F663DE" w:rsidRPr="007A18D8" w:rsidRDefault="00F663DE" w:rsidP="00CE730B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АО</w:t>
            </w:r>
          </w:p>
        </w:tc>
        <w:tc>
          <w:tcPr>
            <w:tcW w:w="8399" w:type="dxa"/>
          </w:tcPr>
          <w:p w:rsidR="00F663DE" w:rsidRPr="00590F00" w:rsidRDefault="00F663DE" w:rsidP="00CE730B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Акционерное общество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АСУ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Автоматизированная система управления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ВВСТ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Вооружения, военная и специальная техника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ВКО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Воздушно-космическая оборона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ВПК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Военно-промышленная комиссия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ВТС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Военно-техническое сотрудничество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ВЭД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Внешнеэкономическая деятельность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ГОЗ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Государственный оборонный заказ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ГП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Государственная программа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ДО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Дочернее общество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ДПР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Долгосрочная программа развития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ИТ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Информационные технологии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КПЭ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Ключевой показатель эффективности</w:t>
            </w:r>
          </w:p>
        </w:tc>
      </w:tr>
      <w:tr w:rsidR="00F663DE" w:rsidRPr="00590F00" w:rsidTr="00F00A27">
        <w:trPr>
          <w:jc w:val="center"/>
        </w:trPr>
        <w:tc>
          <w:tcPr>
            <w:tcW w:w="1171" w:type="dxa"/>
          </w:tcPr>
          <w:p w:rsidR="00F663DE" w:rsidRPr="007A18D8" w:rsidRDefault="00F663DE" w:rsidP="00CE730B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Концерн</w:t>
            </w:r>
          </w:p>
        </w:tc>
        <w:tc>
          <w:tcPr>
            <w:tcW w:w="8399" w:type="dxa"/>
          </w:tcPr>
          <w:p w:rsidR="00F663DE" w:rsidRPr="00590F00" w:rsidRDefault="00F663DE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Интегрированная структура АО «Концерн ВКО «Алмаз-Антей»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НИОКР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Научно-исследовательская и опытно-конструкторская работа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ОПК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Оборонно-промышленный комплекс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ПВН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Продукция военного назначения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ПГН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Продукция гражданского назначения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ПДН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Продукция двойного назначения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ПКИ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Покупные комплектующие изделия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СМИ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Средства массовой информации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ФЦП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Федеральная целевая программа</w:t>
            </w:r>
          </w:p>
        </w:tc>
      </w:tr>
      <w:tr w:rsidR="000E1BB0" w:rsidRPr="00590F00" w:rsidTr="00F00A27">
        <w:trPr>
          <w:jc w:val="center"/>
        </w:trPr>
        <w:tc>
          <w:tcPr>
            <w:tcW w:w="1171" w:type="dxa"/>
          </w:tcPr>
          <w:p w:rsidR="000E1BB0" w:rsidRPr="007A18D8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7A18D8">
              <w:rPr>
                <w:sz w:val="26"/>
                <w:szCs w:val="26"/>
              </w:rPr>
              <w:t>ЭКБ</w:t>
            </w:r>
          </w:p>
        </w:tc>
        <w:tc>
          <w:tcPr>
            <w:tcW w:w="8399" w:type="dxa"/>
          </w:tcPr>
          <w:p w:rsidR="000E1BB0" w:rsidRPr="00590F00" w:rsidRDefault="000E1BB0" w:rsidP="00CE730B">
            <w:pPr>
              <w:spacing w:before="60" w:after="60"/>
              <w:rPr>
                <w:sz w:val="26"/>
                <w:szCs w:val="26"/>
              </w:rPr>
            </w:pPr>
            <w:r w:rsidRPr="00590F00">
              <w:rPr>
                <w:sz w:val="26"/>
                <w:szCs w:val="26"/>
              </w:rPr>
              <w:t>- Электронная компонентная база</w:t>
            </w:r>
          </w:p>
        </w:tc>
      </w:tr>
    </w:tbl>
    <w:p w:rsidR="00F00A27" w:rsidRDefault="00F00A27" w:rsidP="00F00A27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F00A27" w:rsidRDefault="00F00A27" w:rsidP="00F00A27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F00A27" w:rsidRDefault="00F00A27" w:rsidP="00F00A27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F00A27" w:rsidRDefault="00F00A27" w:rsidP="00F00A27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F00A27" w:rsidRDefault="00F00A27" w:rsidP="00523AB9">
      <w:pPr>
        <w:rPr>
          <w:b/>
          <w:sz w:val="32"/>
          <w:szCs w:val="32"/>
        </w:rPr>
      </w:pPr>
    </w:p>
    <w:p w:rsidR="00C52264" w:rsidRDefault="00C52264" w:rsidP="00F00A27">
      <w:pPr>
        <w:pStyle w:val="a3"/>
        <w:spacing w:before="0" w:beforeAutospacing="0" w:after="0" w:afterAutospacing="0"/>
        <w:jc w:val="center"/>
        <w:rPr>
          <w:b/>
          <w:sz w:val="32"/>
          <w:szCs w:val="32"/>
        </w:rPr>
      </w:pPr>
    </w:p>
    <w:p w:rsidR="00C52264" w:rsidRDefault="00C52264" w:rsidP="006F547C">
      <w:pPr>
        <w:jc w:val="right"/>
        <w:rPr>
          <w:lang w:eastAsia="ru-RU"/>
        </w:rPr>
      </w:pPr>
    </w:p>
    <w:p w:rsidR="00C52264" w:rsidRDefault="00C52264" w:rsidP="00C52264">
      <w:pPr>
        <w:rPr>
          <w:lang w:eastAsia="ru-RU"/>
        </w:rPr>
      </w:pPr>
    </w:p>
    <w:p w:rsidR="00A112C7" w:rsidRPr="006F547C" w:rsidRDefault="00A112C7" w:rsidP="006F547C">
      <w:pPr>
        <w:rPr>
          <w:lang w:eastAsia="ru-RU"/>
        </w:rPr>
        <w:sectPr w:rsidR="00A112C7" w:rsidRPr="006F547C" w:rsidSect="00167BBC">
          <w:footerReference w:type="default" r:id="rId7"/>
          <w:footerReference w:type="first" r:id="rId8"/>
          <w:pgSz w:w="11906" w:h="16838" w:code="9"/>
          <w:pgMar w:top="1134" w:right="680" w:bottom="1134" w:left="1531" w:header="709" w:footer="454" w:gutter="0"/>
          <w:cols w:space="708"/>
          <w:docGrid w:linePitch="360"/>
        </w:sectPr>
      </w:pPr>
    </w:p>
    <w:p w:rsidR="000E1BB0" w:rsidRPr="007A18D8" w:rsidRDefault="00A112C7" w:rsidP="00A112C7">
      <w:pPr>
        <w:pStyle w:val="a3"/>
        <w:spacing w:before="0" w:beforeAutospacing="0" w:after="120" w:afterAutospacing="0"/>
        <w:jc w:val="center"/>
        <w:rPr>
          <w:b/>
          <w:sz w:val="32"/>
          <w:szCs w:val="32"/>
        </w:rPr>
      </w:pPr>
      <w:r w:rsidRPr="007A18D8">
        <w:rPr>
          <w:b/>
          <w:sz w:val="32"/>
          <w:szCs w:val="32"/>
        </w:rPr>
        <w:lastRenderedPageBreak/>
        <w:t>Риски ре</w:t>
      </w:r>
      <w:r w:rsidR="000E1BB0" w:rsidRPr="007A18D8">
        <w:rPr>
          <w:b/>
          <w:sz w:val="32"/>
          <w:szCs w:val="32"/>
        </w:rPr>
        <w:t xml:space="preserve">ализации долгосрочной программы развития АО </w:t>
      </w:r>
      <w:r w:rsidR="007A18D8" w:rsidRPr="007A18D8">
        <w:rPr>
          <w:b/>
          <w:sz w:val="32"/>
          <w:szCs w:val="32"/>
        </w:rPr>
        <w:t>«ГПТП «Гранит»</w:t>
      </w:r>
      <w:r w:rsidR="00F00A27">
        <w:rPr>
          <w:b/>
          <w:sz w:val="32"/>
          <w:szCs w:val="32"/>
        </w:rPr>
        <w:t xml:space="preserve"> 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26"/>
        <w:gridCol w:w="2410"/>
        <w:gridCol w:w="3260"/>
        <w:gridCol w:w="1135"/>
        <w:gridCol w:w="3401"/>
        <w:gridCol w:w="4137"/>
      </w:tblGrid>
      <w:tr w:rsidR="000E1BB0" w:rsidRPr="00BD19BC" w:rsidTr="006B5594">
        <w:trPr>
          <w:trHeight w:val="550"/>
          <w:tblHeader/>
          <w:jc w:val="center"/>
        </w:trPr>
        <w:tc>
          <w:tcPr>
            <w:tcW w:w="209" w:type="pct"/>
            <w:tcBorders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0E1BB0" w:rsidRPr="00BD19BC" w:rsidRDefault="000E1BB0" w:rsidP="00CE730B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</w:pPr>
            <w:r w:rsidRPr="00BD19B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  <w:t>№</w:t>
            </w:r>
          </w:p>
        </w:tc>
        <w:tc>
          <w:tcPr>
            <w:tcW w:w="80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0E1BB0" w:rsidRPr="00BD19BC" w:rsidRDefault="000E1BB0" w:rsidP="00CE730B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</w:pPr>
            <w:r w:rsidRPr="00BD19B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  <w:t>Риск</w:t>
            </w:r>
          </w:p>
        </w:tc>
        <w:tc>
          <w:tcPr>
            <w:tcW w:w="108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0E1BB0" w:rsidRPr="00BD19BC" w:rsidRDefault="000E1BB0" w:rsidP="00CE730B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</w:pPr>
            <w:r w:rsidRPr="00BD19B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  <w:t>Последствия</w:t>
            </w:r>
          </w:p>
        </w:tc>
        <w:tc>
          <w:tcPr>
            <w:tcW w:w="37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0E1BB0" w:rsidRPr="00BD19BC" w:rsidRDefault="000E1BB0" w:rsidP="00CE730B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</w:pPr>
            <w:r w:rsidRPr="00BD19B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  <w:t>Степень влияния</w:t>
            </w:r>
          </w:p>
        </w:tc>
        <w:tc>
          <w:tcPr>
            <w:tcW w:w="113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:rsidR="000E1BB0" w:rsidRPr="00BD19BC" w:rsidRDefault="000E1BB0" w:rsidP="00CE730B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</w:pPr>
            <w:r w:rsidRPr="00BD19B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  <w:t>Индикаторы наступления</w:t>
            </w:r>
          </w:p>
        </w:tc>
        <w:tc>
          <w:tcPr>
            <w:tcW w:w="1382" w:type="pct"/>
            <w:tcBorders>
              <w:left w:val="single" w:sz="4" w:space="0" w:color="FFFFFF" w:themeColor="background1"/>
              <w:bottom w:val="nil"/>
            </w:tcBorders>
            <w:shd w:val="clear" w:color="auto" w:fill="365F91" w:themeFill="accent1" w:themeFillShade="BF"/>
            <w:vAlign w:val="center"/>
          </w:tcPr>
          <w:p w:rsidR="000E1BB0" w:rsidRPr="00BD19BC" w:rsidRDefault="000E1BB0" w:rsidP="00CE730B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</w:pPr>
            <w:r w:rsidRPr="00BD19BC">
              <w:rPr>
                <w:rFonts w:ascii="Times New Roman" w:eastAsia="Times New Roman" w:hAnsi="Times New Roman" w:cs="Times New Roman"/>
                <w:b/>
                <w:bCs/>
                <w:color w:val="FFFFFF"/>
                <w:kern w:val="28"/>
                <w:lang w:eastAsia="ru-RU"/>
              </w:rPr>
              <w:t>Мероприятия по управлению риском</w:t>
            </w:r>
          </w:p>
        </w:tc>
      </w:tr>
      <w:tr w:rsidR="000E1BB0" w:rsidRPr="00A63D1E" w:rsidTr="00794F0F">
        <w:trPr>
          <w:trHeight w:val="402"/>
          <w:jc w:val="center"/>
        </w:trPr>
        <w:tc>
          <w:tcPr>
            <w:tcW w:w="209" w:type="pct"/>
            <w:shd w:val="clear" w:color="auto" w:fill="D3DFEE"/>
            <w:vAlign w:val="center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4791" w:type="pct"/>
            <w:gridSpan w:val="5"/>
            <w:shd w:val="clear" w:color="auto" w:fill="D3DFEE"/>
            <w:vAlign w:val="center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Риски внешней среды</w:t>
            </w:r>
          </w:p>
        </w:tc>
      </w:tr>
      <w:tr w:rsidR="000E1BB0" w:rsidRPr="00A63D1E" w:rsidTr="006B5594">
        <w:trPr>
          <w:jc w:val="center"/>
        </w:trPr>
        <w:tc>
          <w:tcPr>
            <w:tcW w:w="209" w:type="pct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805" w:type="pct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Сокращение финансирования ГОЗ в части серийных поставок ВВСТ</w:t>
            </w:r>
          </w:p>
        </w:tc>
        <w:tc>
          <w:tcPr>
            <w:tcW w:w="1089" w:type="pct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 Ухудшение финансово-экономического состояния </w:t>
            </w:r>
            <w:r w:rsidR="001D79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Общества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 Высвобождение мощностей и персонала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Общества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 Потеря ключевых компетенций за счет незагрузки персонала профильной деятельностью и снижения уровня оплаты труда</w:t>
            </w:r>
          </w:p>
        </w:tc>
        <w:tc>
          <w:tcPr>
            <w:tcW w:w="379" w:type="pct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136" w:type="pct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Сокращение лимитов бюджетных ассигнований на ГОЗ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 Сокращение авансирования по ГОЗ, переход на кредитные схемы вместо ава</w:t>
            </w:r>
            <w:r w:rsidR="00B240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сирования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Сокращение срока ГОЗ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 Затягивание заключения договоров по ГОЗ</w:t>
            </w:r>
          </w:p>
        </w:tc>
        <w:tc>
          <w:tcPr>
            <w:tcW w:w="1382" w:type="pct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Программы диверсификации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Разработка экспортных обликов и проработка вопросов включения изделий в состав ВТС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Переговоры с потенциальными странами-покупателями о расширении ВТС и продвижении новых образцов ВВТ</w:t>
            </w:r>
          </w:p>
        </w:tc>
      </w:tr>
      <w:tr w:rsidR="000E1BB0" w:rsidRPr="00A63D1E" w:rsidTr="006B5594">
        <w:trPr>
          <w:jc w:val="center"/>
        </w:trPr>
        <w:tc>
          <w:tcPr>
            <w:tcW w:w="20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805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Сокращение финансирования ГОЗ в части НИОКР / ФЦП и ГП по инновационным направлениям</w:t>
            </w:r>
          </w:p>
        </w:tc>
        <w:tc>
          <w:tcPr>
            <w:tcW w:w="108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 Отставание в инновационной гонке, потеря в перспективе внешних рынков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 Потеря ключевых компетенций в области исследований и разработок за счет недозагрузки персонала профильной деятельностью и снижения уровня оплаты труда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136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Сокращение лимитов бюджетных ассигнований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Исключение ряда проектов из ФЦП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Изменение источника финансирования с бюджетных средств на кредитные</w:t>
            </w:r>
          </w:p>
        </w:tc>
        <w:tc>
          <w:tcPr>
            <w:tcW w:w="1382" w:type="pct"/>
            <w:tcBorders>
              <w:bottom w:val="single" w:sz="4" w:space="0" w:color="auto"/>
            </w:tcBorders>
          </w:tcPr>
          <w:p w:rsidR="000E1BB0" w:rsidRPr="00A63D1E" w:rsidRDefault="005F05F8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Наполнение ф</w:t>
            </w:r>
            <w:r w:rsidR="000E1BB0"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онда НИОКР для обеспечения финансирования заделов собственными средствами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Инвентаризация заделов и определение приоритетных направлений задельных работ</w:t>
            </w:r>
          </w:p>
        </w:tc>
      </w:tr>
      <w:tr w:rsidR="000E1BB0" w:rsidRPr="00A63D1E" w:rsidTr="006B5594">
        <w:trPr>
          <w:trHeight w:val="5662"/>
          <w:jc w:val="center"/>
        </w:trPr>
        <w:tc>
          <w:tcPr>
            <w:tcW w:w="209" w:type="pct"/>
            <w:tcBorders>
              <w:top w:val="nil"/>
              <w:bottom w:val="single" w:sz="4" w:space="0" w:color="auto"/>
            </w:tcBorders>
          </w:tcPr>
          <w:p w:rsidR="000E1BB0" w:rsidRPr="00A63D1E" w:rsidRDefault="00FF1396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1.3</w:t>
            </w:r>
          </w:p>
        </w:tc>
        <w:tc>
          <w:tcPr>
            <w:tcW w:w="805" w:type="pct"/>
            <w:tcBorders>
              <w:top w:val="nil"/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Ухудшение условий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ВТС</w:t>
            </w:r>
          </w:p>
        </w:tc>
        <w:tc>
          <w:tcPr>
            <w:tcW w:w="1089" w:type="pct"/>
            <w:tcBorders>
              <w:top w:val="nil"/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Сокращение выручки и потеря значительной части прибыли за счет снижения объема экспорта ПВН, потеря устойчивости к колебаниям объема ГОЗ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Потеря возможности финансирования инвестиционной программы и, как следствие, потеря возможности производства перспективной продукции</w:t>
            </w:r>
          </w:p>
        </w:tc>
        <w:tc>
          <w:tcPr>
            <w:tcW w:w="379" w:type="pct"/>
            <w:tcBorders>
              <w:top w:val="nil"/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136" w:type="pct"/>
            <w:tcBorders>
              <w:top w:val="nil"/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Появление информации о вводимых ограничениях и санкциях в отношении РФ и предприятий оборонной отрасли 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Появление информации об изменениях условий ведения внешнеэкономической деятельности з</w:t>
            </w:r>
            <w:r w:rsidR="006B55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аказчиков и поставщиков Общества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Смена политических режимов в странах-покупателях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 Кризисные явления в экономике стран-покупателей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5) Переориентация стран-традиционных покупателей на приобретение ПВН у других поставщиков (как в отношении финальных образцов ВВТ, так и работ/услуг по послепродажному обс</w:t>
            </w:r>
            <w:r w:rsidR="00B240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уживанию техники)</w:t>
            </w:r>
          </w:p>
        </w:tc>
        <w:tc>
          <w:tcPr>
            <w:tcW w:w="1382" w:type="pct"/>
            <w:tcBorders>
              <w:top w:val="nil"/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Проработка альтернативных направлений сотрудничества, поиск новых перспективных рынков сбыта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Проработка схем расчетов со странами-потребителями в условиях санкций и угрозы замораживания валютных счетов и блокировки платежных систем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Увеличение объемов авансирования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 Совершенствование рекламно-выставочной деятельности в отношении ПВН, обеспечение ее активности и высокотехнологичности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5) Учет требований инозаказчиков по созданию эффективной системы послепродажного обслуживания поставленной техники при продвижении ПВН.</w:t>
            </w:r>
          </w:p>
          <w:p w:rsidR="005F6A53" w:rsidRPr="00A63D1E" w:rsidRDefault="005F6A53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1BB0" w:rsidRPr="00A63D1E" w:rsidTr="006B5594">
        <w:trPr>
          <w:jc w:val="center"/>
        </w:trPr>
        <w:tc>
          <w:tcPr>
            <w:tcW w:w="209" w:type="pct"/>
            <w:tcBorders>
              <w:bottom w:val="single" w:sz="4" w:space="0" w:color="auto"/>
            </w:tcBorders>
          </w:tcPr>
          <w:p w:rsidR="000E1BB0" w:rsidRPr="00A63D1E" w:rsidRDefault="00FF1396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805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Ухудшение условий внешнеэкономической деятельности по поставкам ПКИ, материалов и оборудования</w:t>
            </w:r>
          </w:p>
        </w:tc>
        <w:tc>
          <w:tcPr>
            <w:tcW w:w="108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Срыв исполнения контрактных обязательств по причине невозможности приобрести комплектующие и оборудование импортного производства при отсутствии аналогов на российском и других доступных для заказа рынках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136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Появление информации о вводимых ограничениях и санкциях в отношении РФ и предприятий оборонной отрасли 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Появление информации об изменениях условий ведения внешнеэкономической деятельности пос</w:t>
            </w:r>
            <w:r w:rsidR="006B55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тавщиков Общества</w:t>
            </w:r>
          </w:p>
        </w:tc>
        <w:tc>
          <w:tcPr>
            <w:tcW w:w="1382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Мониторинг </w:t>
            </w:r>
            <w:r w:rsidR="006B55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поставщиков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комплектующих и оборудования с целью развития партнерских связей и выявления перспективных направлений сотрудничества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Реализация мероприятий по направлению импортозамещения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Создание страховых запасов ПКИ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4) Участие в специальных программах </w:t>
            </w:r>
          </w:p>
        </w:tc>
      </w:tr>
      <w:tr w:rsidR="00735714" w:rsidRPr="00A63D1E" w:rsidTr="006B5594">
        <w:trPr>
          <w:jc w:val="center"/>
        </w:trPr>
        <w:tc>
          <w:tcPr>
            <w:tcW w:w="2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714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714" w:rsidRPr="00A63D1E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714" w:rsidRPr="00A63D1E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714" w:rsidRPr="00A63D1E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714" w:rsidRPr="00A63D1E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5714" w:rsidRPr="00A63D1E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5714" w:rsidRPr="00A63D1E" w:rsidTr="006B5594">
        <w:trPr>
          <w:jc w:val="center"/>
        </w:trPr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</w:tcPr>
          <w:p w:rsidR="00735714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735714" w:rsidRPr="00A63D1E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9" w:type="pct"/>
            <w:tcBorders>
              <w:top w:val="nil"/>
              <w:left w:val="nil"/>
              <w:bottom w:val="nil"/>
              <w:right w:val="nil"/>
            </w:tcBorders>
          </w:tcPr>
          <w:p w:rsidR="00735714" w:rsidRPr="00A63D1E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</w:tcPr>
          <w:p w:rsidR="00735714" w:rsidRPr="00A63D1E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nil"/>
              <w:right w:val="nil"/>
            </w:tcBorders>
          </w:tcPr>
          <w:p w:rsidR="00735714" w:rsidRPr="00A63D1E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</w:tcPr>
          <w:p w:rsidR="00735714" w:rsidRPr="00A63D1E" w:rsidRDefault="00735714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1BB0" w:rsidRPr="00A63D1E" w:rsidTr="006B5594">
        <w:trPr>
          <w:jc w:val="center"/>
        </w:trPr>
        <w:tc>
          <w:tcPr>
            <w:tcW w:w="209" w:type="pct"/>
            <w:tcBorders>
              <w:top w:val="nil"/>
            </w:tcBorders>
          </w:tcPr>
          <w:p w:rsidR="000E1BB0" w:rsidRPr="00A63D1E" w:rsidRDefault="00FF1396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1.5</w:t>
            </w:r>
          </w:p>
        </w:tc>
        <w:tc>
          <w:tcPr>
            <w:tcW w:w="805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Повышение закупочных цен на импортное оборудование и комплектующие</w:t>
            </w:r>
          </w:p>
        </w:tc>
        <w:tc>
          <w:tcPr>
            <w:tcW w:w="1089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Ухудшение финансово-экономических показателей интегрированной структуры</w:t>
            </w:r>
          </w:p>
        </w:tc>
        <w:tc>
          <w:tcPr>
            <w:tcW w:w="379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136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Существенный рост цены поставки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Ужесточение договорных условий в части</w:t>
            </w:r>
            <w:r w:rsidR="006B55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повышения требований к Обществу</w:t>
            </w:r>
          </w:p>
        </w:tc>
        <w:tc>
          <w:tcPr>
            <w:tcW w:w="1382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Мониторинг и формирование списка альтернативных поставщиков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Реализация мероприятий по направлению импортозамещения</w:t>
            </w:r>
          </w:p>
        </w:tc>
      </w:tr>
      <w:tr w:rsidR="000E1BB0" w:rsidRPr="00A63D1E" w:rsidTr="00F00A27">
        <w:trPr>
          <w:trHeight w:val="330"/>
          <w:jc w:val="center"/>
        </w:trPr>
        <w:tc>
          <w:tcPr>
            <w:tcW w:w="209" w:type="pct"/>
            <w:tcBorders>
              <w:top w:val="nil"/>
            </w:tcBorders>
            <w:shd w:val="clear" w:color="auto" w:fill="D3DFEE"/>
            <w:vAlign w:val="center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791" w:type="pct"/>
            <w:gridSpan w:val="5"/>
            <w:tcBorders>
              <w:top w:val="nil"/>
            </w:tcBorders>
            <w:shd w:val="clear" w:color="auto" w:fill="D3DFEE"/>
            <w:vAlign w:val="center"/>
          </w:tcPr>
          <w:p w:rsidR="000E1BB0" w:rsidRPr="00A63D1E" w:rsidRDefault="000E1BB0" w:rsidP="001D79AC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Риски </w:t>
            </w:r>
            <w:r w:rsidR="001D79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Общества</w:t>
            </w:r>
          </w:p>
        </w:tc>
      </w:tr>
      <w:tr w:rsidR="000E1BB0" w:rsidRPr="00A63D1E" w:rsidTr="004C1B26">
        <w:trPr>
          <w:trHeight w:val="3360"/>
          <w:jc w:val="center"/>
        </w:trPr>
        <w:tc>
          <w:tcPr>
            <w:tcW w:w="20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805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Потеря </w:t>
            </w:r>
            <w:r w:rsidR="00141D39"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высококвалифицированных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кадров</w:t>
            </w:r>
          </w:p>
        </w:tc>
        <w:tc>
          <w:tcPr>
            <w:tcW w:w="1089" w:type="pct"/>
            <w:tcBorders>
              <w:bottom w:val="single" w:sz="4" w:space="0" w:color="auto"/>
            </w:tcBorders>
          </w:tcPr>
          <w:p w:rsidR="000E1BB0" w:rsidRPr="00A63D1E" w:rsidRDefault="000E1BB0" w:rsidP="00335AC5">
            <w:pPr>
              <w:widowControl w:val="0"/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Возникновение дополнительных затрат на урегулирование трудовых споров и выплату компенсаций или удержание ключевого персонала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Срыв сроков исполнения контрактных обязательств или плановых мер</w:t>
            </w:r>
            <w:r w:rsidR="00140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оприятий по реализации ДПР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136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Наличие среди персонала лиц, нес</w:t>
            </w:r>
            <w:r w:rsidR="00140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огласных с реализацией ДПР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изменениями их положения в целевой структуре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Рост текучести кадрового состава</w:t>
            </w:r>
          </w:p>
        </w:tc>
        <w:tc>
          <w:tcPr>
            <w:tcW w:w="1382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Письменное предварительное уведомление персонала с получением согласия на смену работодателя (при оргизменениях, слияниях и поглощениях)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Разъяснение персоналу особенностей проводимых изменений, ожидаемых результатов и</w:t>
            </w:r>
            <w:r w:rsidR="00140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перспектив реализации ДПР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информирование о сохранении неизменными условий труда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Реформирование системы оплаты труда и стимулирования персонала</w:t>
            </w:r>
          </w:p>
        </w:tc>
      </w:tr>
      <w:tr w:rsidR="000E1BB0" w:rsidRPr="00A63D1E" w:rsidTr="004C1B26">
        <w:trPr>
          <w:jc w:val="center"/>
        </w:trPr>
        <w:tc>
          <w:tcPr>
            <w:tcW w:w="20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05" w:type="pct"/>
            <w:tcBorders>
              <w:bottom w:val="single" w:sz="4" w:space="0" w:color="auto"/>
            </w:tcBorders>
          </w:tcPr>
          <w:p w:rsidR="000E1BB0" w:rsidRPr="00A63D1E" w:rsidRDefault="000E1BB0" w:rsidP="001D79AC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Неготовность ИТ-систем к функционированию после </w:t>
            </w:r>
            <w:r w:rsidR="00140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завершения реализации ДПР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(недостаточная мощность и производительность систем, некорректность отраженных в них бизнес-процессов, учетной информации, пр.)</w:t>
            </w:r>
          </w:p>
        </w:tc>
        <w:tc>
          <w:tcPr>
            <w:tcW w:w="1089" w:type="pct"/>
            <w:tcBorders>
              <w:bottom w:val="single" w:sz="4" w:space="0" w:color="auto"/>
            </w:tcBorders>
          </w:tcPr>
          <w:p w:rsidR="001400B9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Рост фактических затрат на реализацию </w:t>
            </w:r>
            <w:r w:rsidR="00140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ДПР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Нарушение производственных и управленческих процессов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136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Отрицательные результаты тестирования изменений ИТ-систем</w:t>
            </w:r>
          </w:p>
        </w:tc>
        <w:tc>
          <w:tcPr>
            <w:tcW w:w="1382" w:type="pct"/>
            <w:tcBorders>
              <w:bottom w:val="single" w:sz="4" w:space="0" w:color="auto"/>
            </w:tcBorders>
          </w:tcPr>
          <w:p w:rsidR="00735714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Доработка (развитие)</w:t>
            </w:r>
            <w:r w:rsidR="00BE16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/модификация действующих ИТ-систем по результатам проведенного обследования на предмет необходимости внедрения изменений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Закупка и ввод в эксплуатацию необходимого оборудования</w:t>
            </w:r>
          </w:p>
          <w:p w:rsidR="000E1BB0" w:rsidRPr="00A63D1E" w:rsidRDefault="001400B9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Унификация АСУ Общества</w:t>
            </w:r>
            <w:r w:rsidR="000E1BB0"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базе типовых решений</w:t>
            </w:r>
          </w:p>
        </w:tc>
      </w:tr>
      <w:tr w:rsidR="001400B9" w:rsidRPr="00A63D1E" w:rsidTr="004C1B26">
        <w:trPr>
          <w:jc w:val="center"/>
        </w:trPr>
        <w:tc>
          <w:tcPr>
            <w:tcW w:w="2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0B9" w:rsidRDefault="001400B9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0B9" w:rsidRDefault="001400B9" w:rsidP="001400B9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0B9" w:rsidRDefault="001400B9" w:rsidP="001400B9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0B9" w:rsidRDefault="001400B9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0B9" w:rsidRDefault="001400B9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00B9" w:rsidRDefault="001400B9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1BB0" w:rsidRPr="00A63D1E" w:rsidTr="006B5594">
        <w:trPr>
          <w:jc w:val="center"/>
        </w:trPr>
        <w:tc>
          <w:tcPr>
            <w:tcW w:w="20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</w:t>
            </w:r>
            <w:r w:rsidR="006626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05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Непринятие необходимых для проведения интеграционных преобразований корпоративных решений</w:t>
            </w:r>
          </w:p>
        </w:tc>
        <w:tc>
          <w:tcPr>
            <w:tcW w:w="108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Сры</w:t>
            </w:r>
            <w:r w:rsidR="00140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сроков реализации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ДПР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Увеличение затрат на проведение корпоративных мероприятий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Сбой зависимых про</w:t>
            </w:r>
            <w:r w:rsidR="001400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цессов функционирования Общества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136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Корректировка сроков принятия корпоративных решений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Необходимость проведения дополнительных корпоративных мероприятий</w:t>
            </w:r>
          </w:p>
        </w:tc>
        <w:tc>
          <w:tcPr>
            <w:tcW w:w="1382" w:type="pct"/>
            <w:tcBorders>
              <w:bottom w:val="single" w:sz="4" w:space="0" w:color="auto"/>
            </w:tcBorders>
            <w:vAlign w:val="center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Проведение</w:t>
            </w:r>
            <w:r w:rsidR="00BE16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предварительных переговоров с </w:t>
            </w:r>
            <w:r w:rsidR="006B55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акционерами Общества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Заключение с особо конфликтными акционерами соглашений, позволяющих обеспечит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 принятие органами управления О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бщества необ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ходимых для реализации ДПР</w:t>
            </w:r>
            <w:r w:rsidR="006B55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решений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3) При наличии достаточного количества голосов у мажоритарного акционера (ГО Концерна и контролируемые Концерном акционеры) внесен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ие допустимых изменений в устав Общества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части порядка принятия решений органами управления и их компетенций, позволяющие снизить риски блокирования необход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имых для реализации ДПР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решений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4) Обеспечение отсутствия нарушения действующего законодательства при принятии решений органами управления </w:t>
            </w:r>
          </w:p>
        </w:tc>
      </w:tr>
      <w:tr w:rsidR="000E1BB0" w:rsidRPr="00A63D1E" w:rsidTr="006B5594">
        <w:trPr>
          <w:jc w:val="center"/>
        </w:trPr>
        <w:tc>
          <w:tcPr>
            <w:tcW w:w="209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  <w:r w:rsidR="006626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05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Наложение регуляторных или судебных запретов на переход прав на имущество/ переход имущественных прав при выполнении интеграционных преобразований</w:t>
            </w:r>
          </w:p>
        </w:tc>
        <w:tc>
          <w:tcPr>
            <w:tcW w:w="1089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Недостижение/ изменение целей или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механизмов реализации ДПР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Невозможность осуществлять права собственности и другие права после интеграционных преобразований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3) Утрата некоторых объектов имущества и имущественных прав</w:t>
            </w:r>
          </w:p>
        </w:tc>
        <w:tc>
          <w:tcPr>
            <w:tcW w:w="379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1136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Получение исковых заявлений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Запрет на переход прав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3) Отказ регистрирующих органов и регуляторов в предварительном согласовании процедур интеграции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4) Отказ в регистрации перехода прав на объекты имущества и имущественных прав</w:t>
            </w:r>
          </w:p>
        </w:tc>
        <w:tc>
          <w:tcPr>
            <w:tcW w:w="1382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Формирование реестров объектов имущества и имущественных прав и аудит оформления прав на них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Определение необходимых мероприятий для заблаговременного надлежащего оформления прав на объекты имущества и другие активы, реализация мероприятий до окончания преобразов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аний, предусмотренных ДПР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3) Обеспечение отсутствия нарушений действующего законодательства РФ, соблюдение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прав третьих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лиц в ходе реализации ДПР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4) Предварительное согласование с регистрирующими и регулирующими органами (ФАС, Банк России, ФНС, пр.), региональными и местными властями процедур интеграции</w:t>
            </w:r>
          </w:p>
        </w:tc>
      </w:tr>
      <w:tr w:rsidR="000E1BB0" w:rsidRPr="00A63D1E" w:rsidTr="004C1B26">
        <w:trPr>
          <w:jc w:val="center"/>
        </w:trPr>
        <w:tc>
          <w:tcPr>
            <w:tcW w:w="20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</w:t>
            </w:r>
            <w:r w:rsidR="006626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05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 низкой технологической готовности производства к освоению новых технологий</w:t>
            </w:r>
          </w:p>
        </w:tc>
        <w:tc>
          <w:tcPr>
            <w:tcW w:w="1089" w:type="pct"/>
            <w:tcBorders>
              <w:bottom w:val="single" w:sz="4" w:space="0" w:color="auto"/>
            </w:tcBorders>
            <w:vAlign w:val="center"/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Потеря доли рынка ввиду неконкурентоспособности ПВН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Перспективное ухудшение показателей финансово-экономической эффективности</w:t>
            </w:r>
          </w:p>
        </w:tc>
        <w:tc>
          <w:tcPr>
            <w:tcW w:w="37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1136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Наличие среди персонала лиц, нес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огласных с реализацией ДПР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изменениями их положения в целевой структуре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Рост текучести кадрового состава</w:t>
            </w:r>
          </w:p>
        </w:tc>
        <w:tc>
          <w:tcPr>
            <w:tcW w:w="1382" w:type="pct"/>
            <w:tcBorders>
              <w:bottom w:val="single" w:sz="4" w:space="0" w:color="auto"/>
            </w:tcBorders>
          </w:tcPr>
          <w:p w:rsidR="000E1BB0" w:rsidRPr="00A63D1E" w:rsidRDefault="000E1BB0" w:rsidP="005F05F8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Техническое перевооружение производственных мощностей 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Общества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Анализ технической готовности производства путем сравнения с зарубежными аналогами</w:t>
            </w:r>
          </w:p>
        </w:tc>
      </w:tr>
      <w:tr w:rsidR="000E1BB0" w:rsidRPr="00A63D1E" w:rsidTr="004C1B26">
        <w:trPr>
          <w:jc w:val="center"/>
        </w:trPr>
        <w:tc>
          <w:tcPr>
            <w:tcW w:w="20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  <w:r w:rsidR="006626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05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 убытков вследствие неблагоприятного изменения курсов валют</w:t>
            </w:r>
          </w:p>
        </w:tc>
        <w:tc>
          <w:tcPr>
            <w:tcW w:w="108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Недостижение финансовых показателей р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езультатов деятельности Общества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79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136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Значительные колебания курсов валют при значительной доле экспо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ртной выручки в выручке Общества</w:t>
            </w:r>
          </w:p>
        </w:tc>
        <w:tc>
          <w:tcPr>
            <w:tcW w:w="1382" w:type="pct"/>
            <w:tcBorders>
              <w:bottom w:val="single" w:sz="4" w:space="0" w:color="auto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Заключение форвардных сделок с кредитными организациями при наличии приемлемых стоимостных параметров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Корректировка показателей деятельности и ДПР (при необходимости)</w:t>
            </w:r>
          </w:p>
        </w:tc>
      </w:tr>
      <w:tr w:rsidR="000E1BB0" w:rsidRPr="00A63D1E" w:rsidTr="004C1B26">
        <w:trPr>
          <w:trHeight w:val="2000"/>
          <w:jc w:val="center"/>
        </w:trPr>
        <w:tc>
          <w:tcPr>
            <w:tcW w:w="209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  <w:r w:rsidR="0066262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05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Инфляционный риск</w:t>
            </w:r>
          </w:p>
        </w:tc>
        <w:tc>
          <w:tcPr>
            <w:tcW w:w="1089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Обесценивание реальной стоимости капитала, ожид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аемых доходов и прибыли Общества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 фактических затрат Общества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79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136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Одновременный рост стоимости большей части закупаемой продукции и услуг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Появление информации о росте инфляции из официальных источников</w:t>
            </w:r>
          </w:p>
        </w:tc>
        <w:tc>
          <w:tcPr>
            <w:tcW w:w="1382" w:type="pct"/>
            <w:tcBorders>
              <w:top w:val="nil"/>
            </w:tcBorders>
          </w:tcPr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Вложение свободных денежных средств в основные средства и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инвестиционные проекты Общества</w:t>
            </w: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Размещение временно свободных денежных средств в финансовых организациях</w:t>
            </w:r>
          </w:p>
          <w:p w:rsidR="000E1BB0" w:rsidRPr="00A63D1E" w:rsidRDefault="000E1BB0" w:rsidP="00CE730B">
            <w:pPr>
              <w:widowControl w:val="0"/>
              <w:tabs>
                <w:tab w:val="center" w:pos="4153"/>
                <w:tab w:val="right" w:pos="8306"/>
              </w:tabs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Учет инфляции в финансо</w:t>
            </w:r>
            <w:r w:rsidR="005F05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во-экономических планах Общества</w:t>
            </w:r>
          </w:p>
        </w:tc>
      </w:tr>
    </w:tbl>
    <w:p w:rsidR="000E1BB0" w:rsidRPr="00E36D03" w:rsidRDefault="000E1BB0" w:rsidP="000E1BB0">
      <w:pPr>
        <w:pStyle w:val="a9"/>
        <w:ind w:firstLine="431"/>
        <w:rPr>
          <w:i/>
          <w:color w:val="365F91" w:themeColor="accent1" w:themeShade="BF"/>
        </w:rPr>
      </w:pPr>
    </w:p>
    <w:p w:rsidR="00ED4A46" w:rsidRDefault="0034124F"/>
    <w:sectPr w:rsidR="00ED4A46" w:rsidSect="00145720">
      <w:pgSz w:w="16838" w:h="11906" w:orient="landscape" w:code="9"/>
      <w:pgMar w:top="1531" w:right="1134" w:bottom="680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4F" w:rsidRDefault="0034124F">
      <w:pPr>
        <w:spacing w:after="0" w:line="240" w:lineRule="auto"/>
      </w:pPr>
      <w:r>
        <w:separator/>
      </w:r>
    </w:p>
  </w:endnote>
  <w:endnote w:type="continuationSeparator" w:id="0">
    <w:p w:rsidR="0034124F" w:rsidRDefault="00341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1785"/>
      <w:docPartObj>
        <w:docPartGallery w:val="Page Numbers (Bottom of Page)"/>
        <w:docPartUnique/>
      </w:docPartObj>
    </w:sdtPr>
    <w:sdtEndPr/>
    <w:sdtContent>
      <w:p w:rsidR="00C52264" w:rsidRDefault="00C5226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628">
          <w:rPr>
            <w:noProof/>
          </w:rPr>
          <w:t>5</w:t>
        </w:r>
        <w:r>
          <w:fldChar w:fldCharType="end"/>
        </w:r>
      </w:p>
    </w:sdtContent>
  </w:sdt>
  <w:p w:rsidR="00636605" w:rsidRDefault="0034124F" w:rsidP="00F00A27">
    <w:pPr>
      <w:pStyle w:val="a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BB7" w:rsidRDefault="00167BBC" w:rsidP="00167BBC">
    <w:pPr>
      <w:pStyle w:val="a7"/>
      <w:tabs>
        <w:tab w:val="left" w:pos="8229"/>
        <w:tab w:val="right" w:pos="9695"/>
      </w:tabs>
      <w:jc w:val="right"/>
    </w:pPr>
    <w:r>
      <w:tab/>
    </w:r>
    <w:r>
      <w:tab/>
    </w:r>
    <w:r>
      <w:tab/>
    </w:r>
    <w:r>
      <w:tab/>
    </w:r>
    <w:r w:rsidR="006F547C">
      <w:t>3</w:t>
    </w:r>
  </w:p>
  <w:p w:rsidR="00A112C7" w:rsidRDefault="00A112C7" w:rsidP="00A112C7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4F" w:rsidRDefault="0034124F">
      <w:pPr>
        <w:spacing w:after="0" w:line="240" w:lineRule="auto"/>
      </w:pPr>
      <w:r>
        <w:separator/>
      </w:r>
    </w:p>
  </w:footnote>
  <w:footnote w:type="continuationSeparator" w:id="0">
    <w:p w:rsidR="0034124F" w:rsidRDefault="00341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B0"/>
    <w:rsid w:val="00066ACB"/>
    <w:rsid w:val="00067DAA"/>
    <w:rsid w:val="0009496E"/>
    <w:rsid w:val="000D3BB7"/>
    <w:rsid w:val="000E1BB0"/>
    <w:rsid w:val="0011310B"/>
    <w:rsid w:val="001400B9"/>
    <w:rsid w:val="00141D39"/>
    <w:rsid w:val="00145720"/>
    <w:rsid w:val="00162109"/>
    <w:rsid w:val="00167BBC"/>
    <w:rsid w:val="00180587"/>
    <w:rsid w:val="001D79AC"/>
    <w:rsid w:val="00234AE7"/>
    <w:rsid w:val="00314637"/>
    <w:rsid w:val="00335AC5"/>
    <w:rsid w:val="0034124F"/>
    <w:rsid w:val="00372B54"/>
    <w:rsid w:val="003F2D25"/>
    <w:rsid w:val="0040153A"/>
    <w:rsid w:val="00487803"/>
    <w:rsid w:val="004A4228"/>
    <w:rsid w:val="004C04AC"/>
    <w:rsid w:val="004C1B26"/>
    <w:rsid w:val="004E544B"/>
    <w:rsid w:val="00523AB9"/>
    <w:rsid w:val="00567EF0"/>
    <w:rsid w:val="00575750"/>
    <w:rsid w:val="005779F3"/>
    <w:rsid w:val="005F05F8"/>
    <w:rsid w:val="005F6A53"/>
    <w:rsid w:val="00662628"/>
    <w:rsid w:val="00683C52"/>
    <w:rsid w:val="006B5594"/>
    <w:rsid w:val="006C2858"/>
    <w:rsid w:val="006D7718"/>
    <w:rsid w:val="006F547C"/>
    <w:rsid w:val="0070698B"/>
    <w:rsid w:val="00735714"/>
    <w:rsid w:val="00794F0F"/>
    <w:rsid w:val="007A18D8"/>
    <w:rsid w:val="007C7D55"/>
    <w:rsid w:val="008D17EA"/>
    <w:rsid w:val="008E63EC"/>
    <w:rsid w:val="009412E5"/>
    <w:rsid w:val="00967D22"/>
    <w:rsid w:val="009C3E96"/>
    <w:rsid w:val="00A112C7"/>
    <w:rsid w:val="00A34163"/>
    <w:rsid w:val="00AB4236"/>
    <w:rsid w:val="00B240A0"/>
    <w:rsid w:val="00BD19BC"/>
    <w:rsid w:val="00BD33D0"/>
    <w:rsid w:val="00BE16ED"/>
    <w:rsid w:val="00C1487D"/>
    <w:rsid w:val="00C52264"/>
    <w:rsid w:val="00C555FE"/>
    <w:rsid w:val="00CD4FAC"/>
    <w:rsid w:val="00CE1C45"/>
    <w:rsid w:val="00D05B7C"/>
    <w:rsid w:val="00D318A4"/>
    <w:rsid w:val="00F00A27"/>
    <w:rsid w:val="00F13ED3"/>
    <w:rsid w:val="00F663DE"/>
    <w:rsid w:val="00F86905"/>
    <w:rsid w:val="00FF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B792DF-5691-4FE6-A942-A7746FEE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1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E1B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E1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BB0"/>
  </w:style>
  <w:style w:type="paragraph" w:styleId="a7">
    <w:name w:val="footer"/>
    <w:basedOn w:val="a"/>
    <w:link w:val="a8"/>
    <w:uiPriority w:val="99"/>
    <w:unhideWhenUsed/>
    <w:rsid w:val="000E1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BB0"/>
  </w:style>
  <w:style w:type="paragraph" w:customStyle="1" w:styleId="a9">
    <w:name w:val="Текст_обыч"/>
    <w:basedOn w:val="a"/>
    <w:link w:val="aa"/>
    <w:uiPriority w:val="99"/>
    <w:qFormat/>
    <w:rsid w:val="000E1BB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a">
    <w:name w:val="Текст_обыч Знак"/>
    <w:link w:val="a9"/>
    <w:uiPriority w:val="99"/>
    <w:locked/>
    <w:rsid w:val="000E1BB0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-">
    <w:name w:val="Титул - Наименование"/>
    <w:basedOn w:val="a"/>
    <w:rsid w:val="000E1BB0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caps/>
      <w:kern w:val="28"/>
      <w:sz w:val="36"/>
      <w:szCs w:val="24"/>
      <w:lang w:eastAsia="ru-RU"/>
    </w:rPr>
  </w:style>
  <w:style w:type="paragraph" w:customStyle="1" w:styleId="-0">
    <w:name w:val="Титул - слово Отчет"/>
    <w:basedOn w:val="a"/>
    <w:rsid w:val="000E1BB0"/>
    <w:pPr>
      <w:spacing w:before="720" w:after="60" w:line="240" w:lineRule="auto"/>
      <w:ind w:firstLine="709"/>
      <w:jc w:val="center"/>
    </w:pPr>
    <w:rPr>
      <w:rFonts w:ascii="Times New Roman" w:eastAsia="Times New Roman" w:hAnsi="Times New Roman" w:cs="Arial"/>
      <w:spacing w:val="40"/>
      <w:kern w:val="28"/>
      <w:sz w:val="36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13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13ED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4A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6BAEA-63B4-4DBB-A4D6-E8E7E12CF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Камалетдинова Зельфира Михайловна</dc:creator>
  <cp:lastModifiedBy>Котлов А.В.</cp:lastModifiedBy>
  <cp:revision>31</cp:revision>
  <cp:lastPrinted>2019-06-24T05:16:00Z</cp:lastPrinted>
  <dcterms:created xsi:type="dcterms:W3CDTF">2017-09-20T13:39:00Z</dcterms:created>
  <dcterms:modified xsi:type="dcterms:W3CDTF">2019-07-24T12:19:00Z</dcterms:modified>
</cp:coreProperties>
</file>