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b/>
          <w:i w:val="0"/>
          <w:sz w:val="30"/>
        </w:rPr>
        <w:t>Resolution Bias and Cross-Generator Detection of AI-Generated Images</w:t>
      </w:r>
    </w:p>
    <w:p>
      <w:pPr>
        <w:spacing w:before="0" w:after="20" w:line="240" w:lineRule="auto"/>
        <w:jc w:val="center"/>
      </w:pPr>
      <w:r>
        <w:rPr>
          <w:rFonts w:ascii="Times New Roman" w:hAnsi="Times New Roman"/>
          <w:b w:val="0"/>
          <w:i w:val="0"/>
          <w:sz w:val="22"/>
        </w:rPr>
        <w:t>Noa Keter  ·  Ido Josephsberg</w:t>
      </w:r>
    </w:p>
    <w:p>
      <w:pPr>
        <w:spacing w:before="0" w:after="20" w:line="240" w:lineRule="auto"/>
        <w:jc w:val="center"/>
      </w:pPr>
      <w:r>
        <w:rPr>
          <w:rFonts w:ascii="Times New Roman" w:hAnsi="Times New Roman"/>
          <w:b w:val="0"/>
          <w:i/>
          <w:sz w:val="20"/>
        </w:rPr>
        <w:t>Deep Learning, Tel Aviv University, 2026b  ·  Dr. Shay Maymon</w:t>
      </w:r>
    </w:p>
    <w:p>
      <w:pPr>
        <w:spacing w:before="0" w:after="120" w:line="240" w:lineRule="auto"/>
        <w:jc w:val="center"/>
      </w:pPr>
      <w:r>
        <w:rPr>
          <w:rFonts w:ascii="Times New Roman" w:hAnsi="Times New Roman"/>
          <w:b w:val="0"/>
          <w:i w:val="0"/>
          <w:sz w:val="20"/>
        </w:rPr>
        <w:t xml:space="preserve">Code and run instructions: </w:t>
      </w:r>
      <w:r>
        <w:rPr>
          <w:rFonts w:ascii="Consolas" w:hAnsi="Consolas"/>
          <w:b w:val="0"/>
          <w:i w:val="0"/>
          <w:color w:val="1F3F6E"/>
          <w:sz w:val="19"/>
        </w:rPr>
        <w:t>https://github.com/noa-keter/deep-learning</w:t>
      </w:r>
    </w:p>
    <w:p>
      <w:pPr>
        <w:spacing w:before="0" w:after="40" w:line="240" w:lineRule="auto"/>
        <w:jc w:val="left"/>
      </w:pPr>
      <w:r>
        <w:rPr>
          <w:rFonts w:ascii="Times New Roman" w:hAnsi="Times New Roman"/>
          <w:b/>
          <w:i w:val="0"/>
          <w:color w:val="1F3F6E"/>
          <w:sz w:val="26"/>
        </w:rPr>
        <w:t>1  Motivation and problem definition</w:t>
      </w:r>
    </w:p>
    <w:p>
      <w:pPr>
        <w:spacing w:before="0" w:after="44" w:line="240" w:lineRule="auto"/>
        <w:jc w:val="both"/>
      </w:pPr>
      <w:r>
        <w:rPr>
          <w:rFonts w:ascii="Times New Roman" w:hAnsi="Times New Roman"/>
          <w:b w:val="0"/>
          <w:i w:val="0"/>
          <w:sz w:val="24"/>
        </w:rPr>
        <w:t xml:space="preserve">A convolutional detector separates real photographs from generated ones almost perfectly when the test images come from the generator it trained on. On generators it has never seen, accuracy falls sharply. We ask how much of that in-distribution success reflects the </w:t>
      </w:r>
      <w:r>
        <w:rPr>
          <w:rFonts w:ascii="Times New Roman" w:hAnsi="Times New Roman"/>
          <w:b w:val="0"/>
          <w:i/>
          <w:sz w:val="24"/>
        </w:rPr>
        <w:t>generative process</w:t>
      </w:r>
      <w:r>
        <w:rPr>
          <w:rFonts w:ascii="Times New Roman" w:hAnsi="Times New Roman"/>
          <w:b w:val="0"/>
          <w:i w:val="0"/>
          <w:sz w:val="24"/>
        </w:rPr>
        <w:t xml:space="preserve"> and how much reflects the way the benchmark was built.</w:t>
      </w:r>
    </w:p>
    <w:p>
      <w:pPr>
        <w:spacing w:before="0" w:after="44" w:line="240" w:lineRule="auto"/>
        <w:jc w:val="both"/>
      </w:pPr>
      <w:r>
        <w:rPr>
          <w:rFonts w:ascii="Times New Roman" w:hAnsi="Times New Roman"/>
          <w:b w:val="0"/>
          <w:i w:val="0"/>
          <w:sz w:val="24"/>
        </w:rPr>
        <w:t xml:space="preserve">The concern is concrete. Each generator emits images at a single fixed resolution, while real photographs vary, so the dimensions alone identify both the class and the generator. A detector can therefore score well without ever examining pixel content. On our data a rule with </w:t>
      </w:r>
      <w:r>
        <w:rPr>
          <w:rFonts w:ascii="Times New Roman" w:hAnsi="Times New Roman"/>
          <w:b/>
          <w:i w:val="0"/>
          <w:sz w:val="24"/>
        </w:rPr>
        <w:t>zero parameters</w:t>
      </w:r>
      <w:r>
        <w:rPr>
          <w:rFonts w:ascii="Times New Roman" w:hAnsi="Times New Roman"/>
          <w:b w:val="0"/>
          <w:i w:val="0"/>
          <w:sz w:val="24"/>
        </w:rPr>
        <w:t xml:space="preserve">, predicting “synthetic” whenever the image is square, reaches </w:t>
      </w:r>
      <w:r>
        <w:rPr>
          <w:rFonts w:ascii="Times New Roman" w:hAnsi="Times New Roman"/>
          <w:b/>
          <w:i w:val="0"/>
          <w:sz w:val="24"/>
        </w:rPr>
        <w:t>0.977 accuracy on every source-target pair</w:t>
      </w:r>
      <w:r>
        <w:rPr>
          <w:rFonts w:ascii="Times New Roman" w:hAnsi="Times New Roman"/>
          <w:b w:val="0"/>
          <w:i w:val="0"/>
          <w:sz w:val="24"/>
        </w:rPr>
        <w:t>. That is higher than the cross-generator accuracy of every trained detector we report below.</w:t>
      </w:r>
    </w:p>
    <w:p>
      <w:pPr>
        <w:spacing w:before="0" w:after="44" w:line="240" w:lineRule="auto"/>
        <w:jc w:val="both"/>
      </w:pPr>
      <w:r>
        <w:rPr>
          <w:rFonts w:ascii="Times New Roman" w:hAnsi="Times New Roman"/>
          <w:b w:val="0"/>
          <w:i w:val="0"/>
          <w:sz w:val="24"/>
        </w:rPr>
        <w:t>Removing the cue is not a neutral act. The generative fingerprint is a high-frequency property, and every correction damages it differently: cropping discards context, rescaling attenuates the frequencies carrying the signal, and padding introduces a border of its own. Prior work applies one correction and reports the corrected number. We make the correction itself the experimental variable, holding architecture, data and protocol fixed, and ask whether the conclusions survive that choice. They do not.</w:t>
      </w:r>
    </w:p>
    <w:p>
      <w:pPr>
        <w:spacing w:before="120" w:after="40" w:line="240" w:lineRule="auto"/>
        <w:jc w:val="left"/>
      </w:pPr>
      <w:r>
        <w:rPr>
          <w:rFonts w:ascii="Times New Roman" w:hAnsi="Times New Roman"/>
          <w:b/>
          <w:i w:val="0"/>
          <w:color w:val="1F3F6E"/>
          <w:sz w:val="26"/>
        </w:rPr>
        <w:t>2  Related work</w:t>
      </w:r>
    </w:p>
    <w:p>
      <w:pPr>
        <w:spacing w:before="0" w:after="44" w:line="240" w:lineRule="auto"/>
        <w:jc w:val="both"/>
      </w:pPr>
      <w:r>
        <w:rPr>
          <w:rFonts w:ascii="Times New Roman" w:hAnsi="Times New Roman"/>
          <w:b w:val="0"/>
          <w:i w:val="0"/>
          <w:sz w:val="24"/>
        </w:rPr>
        <w:t>Wang et al. [1] established the pattern this project examines: a classifier trained on a single generator detects generated images easily in-distribution, yet transfers unevenly to unseen architectures. GenImage [2] scaled the question to a million images and formalized the cross-generator protocol, training on one generator and evaluating on all others, which is the protocol we adopt. Grommelt et al. [3] then showed that GenImage carries two construction artifacts, JPEG compression and image size, and that removing both raises cross-generator accuracy by more than eleven percentage points for ResNet50 and Swin-T detectors.</w:t>
      </w:r>
    </w:p>
    <w:p>
      <w:pPr>
        <w:spacing w:before="0" w:after="44" w:line="240" w:lineRule="auto"/>
        <w:jc w:val="both"/>
      </w:pPr>
      <w:r>
        <w:rPr>
          <w:rFonts w:ascii="Times New Roman" w:hAnsi="Times New Roman"/>
          <w:b w:val="0"/>
          <w:i w:val="0"/>
          <w:sz w:val="24"/>
        </w:rPr>
        <w:t xml:space="preserve">We take [3] as established and begin where it stops. That work demonstrates that the bias </w:t>
      </w:r>
      <w:r>
        <w:rPr>
          <w:rFonts w:ascii="Times New Roman" w:hAnsi="Times New Roman"/>
          <w:b w:val="0"/>
          <w:i/>
          <w:sz w:val="24"/>
        </w:rPr>
        <w:t>exists</w:t>
      </w:r>
      <w:r>
        <w:rPr>
          <w:rFonts w:ascii="Times New Roman" w:hAnsi="Times New Roman"/>
          <w:b w:val="0"/>
          <w:i w:val="0"/>
          <w:sz w:val="24"/>
        </w:rPr>
        <w:t xml:space="preserve"> and corrects it once, by a single mechanism. It does not ask whether the choice of mechanism changes the answer. Ours is a different claim: </w:t>
      </w:r>
      <w:r>
        <w:rPr>
          <w:rFonts w:ascii="Times New Roman" w:hAnsi="Times New Roman"/>
          <w:b/>
          <w:i w:val="0"/>
          <w:sz w:val="24"/>
        </w:rPr>
        <w:t>the correction is itself a free parameter, and it reorders published results</w:t>
      </w:r>
      <w:r>
        <w:rPr>
          <w:rFonts w:ascii="Times New Roman" w:hAnsi="Times New Roman"/>
          <w:b w:val="0"/>
          <w:i w:val="0"/>
          <w:sz w:val="24"/>
        </w:rPr>
        <w:t>.</w:t>
      </w:r>
    </w:p>
    <w:p>
      <w:pPr>
        <w:spacing w:before="120" w:after="40" w:line="240" w:lineRule="auto"/>
        <w:jc w:val="left"/>
      </w:pPr>
      <w:r>
        <w:rPr>
          <w:rFonts w:ascii="Times New Roman" w:hAnsi="Times New Roman"/>
          <w:b/>
          <w:i w:val="0"/>
          <w:color w:val="1F3F6E"/>
          <w:sz w:val="26"/>
        </w:rPr>
        <w:t>3  Data</w:t>
      </w:r>
    </w:p>
    <w:p>
      <w:pPr>
        <w:spacing w:before="0" w:after="44" w:line="240" w:lineRule="auto"/>
        <w:jc w:val="both"/>
      </w:pPr>
      <w:r>
        <w:rPr>
          <w:rFonts w:ascii="Times New Roman" w:hAnsi="Times New Roman"/>
          <w:b w:val="0"/>
          <w:i w:val="0"/>
          <w:sz w:val="24"/>
        </w:rPr>
        <w:t xml:space="preserve">We use </w:t>
      </w:r>
      <w:r>
        <w:rPr>
          <w:rFonts w:ascii="Times New Roman" w:hAnsi="Times New Roman"/>
          <w:b/>
          <w:i w:val="0"/>
          <w:sz w:val="24"/>
        </w:rPr>
        <w:t>Tiny-GenImage</w:t>
      </w:r>
      <w:r>
        <w:rPr>
          <w:rFonts w:ascii="Times New Roman" w:hAnsi="Times New Roman"/>
          <w:b w:val="0"/>
          <w:i w:val="0"/>
          <w:sz w:val="24"/>
        </w:rPr>
        <w:t xml:space="preserve"> (Hugging Face </w:t>
      </w:r>
      <w:r>
        <w:rPr>
          <w:rFonts w:ascii="Consolas" w:hAnsi="Consolas"/>
          <w:b w:val="0"/>
          <w:i w:val="0"/>
          <w:sz w:val="23"/>
        </w:rPr>
        <w:t>TheKernel01/Tiny-GenImage</w:t>
      </w:r>
      <w:r>
        <w:rPr>
          <w:rFonts w:ascii="Times New Roman" w:hAnsi="Times New Roman"/>
          <w:b w:val="0"/>
          <w:i w:val="0"/>
          <w:sz w:val="24"/>
        </w:rPr>
        <w:t xml:space="preserve">, CC BY-NC-SA 4.0), a 35,000-image, 8.4 GB subset of GenImage [2]. It holds 17,500 real ImageNet photographs and 2,500 images from each of </w:t>
      </w:r>
      <w:r>
        <w:rPr>
          <w:rFonts w:ascii="Times New Roman" w:hAnsi="Times New Roman"/>
          <w:b/>
          <w:i w:val="0"/>
          <w:sz w:val="24"/>
        </w:rPr>
        <w:t>seven</w:t>
      </w:r>
      <w:r>
        <w:rPr>
          <w:rFonts w:ascii="Times New Roman" w:hAnsi="Times New Roman"/>
          <w:b w:val="0"/>
          <w:i w:val="0"/>
          <w:sz w:val="24"/>
        </w:rPr>
        <w:t xml:space="preserve"> generators: ADM, BigGAN, GLIDE, Midjourney, SD 1.5, VQDM and Wukong. Every row carries its generator label, and splits are stratified by generator. Inspecting the files directly, we confirmed that each generator emits a single native resolution, with one 512² Midjourney outlier in 2,500 (Table 1), while real images vary, and that all images are JPEG except ADM, which is PNG. GenImage's format bias is therefore largely absent here, which is what makes this subset suitable for our purpose: </w:t>
      </w:r>
      <w:r>
        <w:rPr>
          <w:rFonts w:ascii="Times New Roman" w:hAnsi="Times New Roman"/>
          <w:b/>
          <w:i w:val="0"/>
          <w:sz w:val="24"/>
        </w:rPr>
        <w:t>size is the only substantial surviving confound</w:t>
      </w:r>
      <w:r>
        <w:rPr>
          <w:rFonts w:ascii="Times New Roman" w:hAnsi="Times New Roman"/>
          <w:b w:val="0"/>
          <w:i w:val="0"/>
          <w:sz w:val="24"/>
        </w:rPr>
        <w:t>.</w:t>
      </w:r>
    </w:p>
    <w:tbl>
      <w:tblPr>
        <w:tblStyle w:val="TableGrid"/>
        <w:tblW w:type="auto" w:w="0"/>
        <w:tblLayout w:type="fixed"/>
        <w:tblLook w:firstColumn="1" w:firstRow="1" w:lastColumn="0" w:lastRow="0" w:noHBand="0" w:noVBand="1" w:val="04A0"/>
      </w:tblPr>
      <w:tblGrid>
        <w:gridCol w:w="1701"/>
        <w:gridCol w:w="1701"/>
        <w:gridCol w:w="1701"/>
        <w:gridCol w:w="1701"/>
        <w:gridCol w:w="1701"/>
        <w:gridCol w:w="1701"/>
      </w:tblGrid>
      <w:tr>
        <w:trPr>
          <w:cantSplit/>
        </w:trPr>
        <w:tc>
          <w:tcPr>
            <w:tcW w:type="dxa" w:w="2041"/>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r>
          </w:p>
        </w:tc>
        <w:tc>
          <w:tcPr>
            <w:tcW w:type="dxa" w:w="1247"/>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BigGAN</w:t>
            </w:r>
          </w:p>
        </w:tc>
        <w:tc>
          <w:tcPr>
            <w:tcW w:type="dxa" w:w="2041"/>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ADM · GLIDE · VQDM</w:t>
            </w:r>
          </w:p>
        </w:tc>
        <w:tc>
          <w:tcPr>
            <w:tcW w:type="dxa" w:w="1644"/>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SD 1.5 · Wukong</w:t>
            </w:r>
          </w:p>
        </w:tc>
        <w:tc>
          <w:tcPr>
            <w:tcW w:type="dxa" w:w="1417"/>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Midjourney</w:t>
            </w:r>
          </w:p>
        </w:tc>
        <w:tc>
          <w:tcPr>
            <w:tcW w:type="dxa" w:w="1814"/>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Real (ImageNet)</w:t>
            </w:r>
          </w:p>
        </w:tc>
      </w:tr>
      <w:tr>
        <w:trPr>
          <w:cantSplit/>
        </w:trPr>
        <w:tc>
          <w:tcPr>
            <w:tcW w:type="dxa" w:w="2041"/>
            <w:vAlign w:val="center"/>
            <w:tcMar>
              <w:top w:w="14" w:type="dxa"/>
              <w:bottom w:w="14" w:type="dxa"/>
              <w:left w:w="40" w:type="dxa"/>
              <w:right w:w="40" w:type="dxa"/>
            </w:tcMar>
          </w:tcPr>
          <w:p>
            <w:pPr>
              <w:keepNext/>
              <w:spacing w:before="10" w:after="10" w:line="240" w:lineRule="auto"/>
              <w:jc w:val="left"/>
            </w:pPr>
            <w:r>
              <w:rPr>
                <w:rFonts w:ascii="Times New Roman" w:hAnsi="Times New Roman"/>
                <w:b/>
                <w:sz w:val="19"/>
              </w:rPr>
              <w:t>Native resolution</w:t>
            </w:r>
          </w:p>
        </w:tc>
        <w:tc>
          <w:tcPr>
            <w:tcW w:type="dxa" w:w="1247"/>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128²</w:t>
            </w:r>
          </w:p>
        </w:tc>
        <w:tc>
          <w:tcPr>
            <w:tcW w:type="dxa" w:w="2041"/>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256²</w:t>
            </w:r>
          </w:p>
        </w:tc>
        <w:tc>
          <w:tcPr>
            <w:tcW w:type="dxa" w:w="1644"/>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512²</w:t>
            </w:r>
          </w:p>
        </w:tc>
        <w:tc>
          <w:tcPr>
            <w:tcW w:type="dxa" w:w="1417"/>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1024²</w:t>
            </w:r>
          </w:p>
        </w:tc>
        <w:tc>
          <w:tcPr>
            <w:tcW w:type="dxa" w:w="1814"/>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variable</w:t>
            </w:r>
          </w:p>
        </w:tc>
      </w:tr>
    </w:tbl>
    <w:p>
      <w:pPr>
        <w:spacing w:before="20" w:after="80" w:line="240" w:lineRule="auto"/>
        <w:jc w:val="both"/>
      </w:pPr>
      <w:r>
        <w:rPr>
          <w:rFonts w:ascii="Times New Roman" w:hAnsi="Times New Roman"/>
          <w:b/>
          <w:sz w:val="20"/>
        </w:rPr>
        <w:t>Table 1.</w:t>
      </w:r>
      <w:r>
        <w:rPr>
          <w:rFonts w:ascii="Times New Roman" w:hAnsi="Times New Roman"/>
          <w:sz w:val="20"/>
        </w:rPr>
        <w:t xml:space="preserve"> Native resolution of each class. Every generator emits one fixed size, so both the class and the generator can be read off the dimensions alone; this is the confound the project is about. The real class is the only one with variable aspect ratio, which is what makes the pad strategy behave the way it does in §5.</w:t>
      </w:r>
    </w:p>
    <w:p>
      <w:pPr>
        <w:spacing w:before="0" w:after="44" w:line="240" w:lineRule="auto"/>
        <w:jc w:val="both"/>
      </w:pPr>
      <w:r>
        <w:rPr>
          <w:rFonts w:ascii="Times New Roman" w:hAnsi="Times New Roman"/>
          <w:b/>
          <w:i w:val="0"/>
          <w:sz w:val="24"/>
        </w:rPr>
        <w:t>Splits.</w:t>
      </w:r>
      <w:r>
        <w:rPr>
          <w:rFonts w:ascii="Times New Roman" w:hAnsi="Times New Roman"/>
          <w:b w:val="0"/>
          <w:i w:val="0"/>
          <w:sz w:val="24"/>
        </w:rPr>
        <w:t xml:space="preserve"> The dataset ships a </w:t>
      </w:r>
      <w:r>
        <w:rPr>
          <w:rFonts w:ascii="Consolas" w:hAnsi="Consolas"/>
          <w:b w:val="0"/>
          <w:i w:val="0"/>
          <w:sz w:val="23"/>
        </w:rPr>
        <w:t>train</w:t>
      </w:r>
      <w:r>
        <w:rPr>
          <w:rFonts w:ascii="Times New Roman" w:hAnsi="Times New Roman"/>
          <w:b w:val="0"/>
          <w:i w:val="0"/>
          <w:sz w:val="24"/>
        </w:rPr>
        <w:t xml:space="preserve"> split of 28,000 and a </w:t>
      </w:r>
      <w:r>
        <w:rPr>
          <w:rFonts w:ascii="Consolas" w:hAnsi="Consolas"/>
          <w:b w:val="0"/>
          <w:i w:val="0"/>
          <w:sz w:val="23"/>
        </w:rPr>
        <w:t>validation</w:t>
      </w:r>
      <w:r>
        <w:rPr>
          <w:rFonts w:ascii="Times New Roman" w:hAnsi="Times New Roman"/>
          <w:b w:val="0"/>
          <w:i w:val="0"/>
          <w:sz w:val="24"/>
        </w:rPr>
        <w:t xml:space="preserve"> split of 7,000. We use the shipped </w:t>
      </w:r>
      <w:r>
        <w:rPr>
          <w:rFonts w:ascii="Consolas" w:hAnsi="Consolas"/>
          <w:b w:val="0"/>
          <w:i w:val="0"/>
          <w:sz w:val="23"/>
        </w:rPr>
        <w:t>validation</w:t>
      </w:r>
      <w:r>
        <w:rPr>
          <w:rFonts w:ascii="Times New Roman" w:hAnsi="Times New Roman"/>
          <w:b w:val="0"/>
          <w:i w:val="0"/>
          <w:sz w:val="24"/>
        </w:rPr>
        <w:t xml:space="preserve"> split as our </w:t>
      </w:r>
      <w:r>
        <w:rPr>
          <w:rFonts w:ascii="Times New Roman" w:hAnsi="Times New Roman"/>
          <w:b/>
          <w:i w:val="0"/>
          <w:sz w:val="24"/>
        </w:rPr>
        <w:t>test</w:t>
      </w:r>
      <w:r>
        <w:rPr>
          <w:rFonts w:ascii="Times New Roman" w:hAnsi="Times New Roman"/>
          <w:b w:val="0"/>
          <w:i w:val="0"/>
          <w:sz w:val="24"/>
        </w:rPr>
        <w:t xml:space="preserve"> set and carve our own validation set from 10% of </w:t>
      </w:r>
      <w:r>
        <w:rPr>
          <w:rFonts w:ascii="Consolas" w:hAnsi="Consolas"/>
          <w:b w:val="0"/>
          <w:i w:val="0"/>
          <w:sz w:val="23"/>
        </w:rPr>
        <w:t>train</w:t>
      </w:r>
      <w:r>
        <w:rPr>
          <w:rFonts w:ascii="Times New Roman" w:hAnsi="Times New Roman"/>
          <w:b w:val="0"/>
          <w:i w:val="0"/>
          <w:sz w:val="24"/>
        </w:rPr>
        <w:t xml:space="preserve">, giving 3,600 training, 400 validation and 4,000 test images per run. Model selection uses the internal validation set only, so no reported number ever influenced training. Each matrix cell pairs the target generator's 500 test fakes with the </w:t>
      </w:r>
      <w:r>
        <w:rPr>
          <w:rFonts w:ascii="Times New Roman" w:hAnsi="Times New Roman"/>
          <w:b/>
          <w:i w:val="0"/>
          <w:sz w:val="24"/>
        </w:rPr>
        <w:t>same fixed 500 real images</w:t>
      </w:r>
      <w:r>
        <w:rPr>
          <w:rFonts w:ascii="Times New Roman" w:hAnsi="Times New Roman"/>
          <w:b w:val="0"/>
          <w:i w:val="0"/>
          <w:sz w:val="24"/>
        </w:rPr>
        <w:t>, so every cell is exactly balanced at n = 1,000 and accuracy is directly interpretable. The binomial standard error is ±1.6 pp at p = 0.5.</w:t>
      </w:r>
    </w:p>
    <w:p>
      <w:pPr>
        <w:spacing w:before="120" w:after="40" w:line="240" w:lineRule="auto"/>
        <w:jc w:val="left"/>
      </w:pPr>
      <w:r>
        <w:rPr>
          <w:rFonts w:ascii="Times New Roman" w:hAnsi="Times New Roman"/>
          <w:b/>
          <w:i w:val="0"/>
          <w:color w:val="1F3F6E"/>
          <w:sz w:val="26"/>
        </w:rPr>
        <w:t>4  Models and hyperparameters</w:t>
      </w:r>
    </w:p>
    <w:p>
      <w:pPr>
        <w:spacing w:before="0" w:after="44" w:line="240" w:lineRule="auto"/>
        <w:jc w:val="both"/>
      </w:pPr>
      <w:r>
        <w:rPr>
          <w:rFonts w:ascii="Times New Roman" w:hAnsi="Times New Roman"/>
          <w:b/>
          <w:i w:val="0"/>
          <w:sz w:val="24"/>
        </w:rPr>
        <w:t>Architecture.</w:t>
      </w:r>
      <w:r>
        <w:rPr>
          <w:rFonts w:ascii="Times New Roman" w:hAnsi="Times New Roman"/>
          <w:b w:val="0"/>
          <w:i w:val="0"/>
          <w:sz w:val="24"/>
        </w:rPr>
        <w:t xml:space="preserve"> A compact CNN trained </w:t>
      </w:r>
      <w:r>
        <w:rPr>
          <w:rFonts w:ascii="Times New Roman" w:hAnsi="Times New Roman"/>
          <w:b/>
          <w:i w:val="0"/>
          <w:sz w:val="24"/>
        </w:rPr>
        <w:t>from scratch</w:t>
      </w:r>
      <w:r>
        <w:rPr>
          <w:rFonts w:ascii="Times New Roman" w:hAnsi="Times New Roman"/>
          <w:b w:val="0"/>
          <w:i w:val="0"/>
          <w:sz w:val="24"/>
        </w:rPr>
        <w:t xml:space="preserve"> in PyTorch, 1,173,473 parameters: four blocks of [Conv 3×3, BatchNorm, ReLU] ×2 followed by 2×2 max-pooling, with widths 32/64/128/256 taking the 128×128 input down to 8×8, then global average pooling, dropout 0.3 and a single linear unit. Training from scratch is a requirement rather than a shortcut: the real class </w:t>
      </w:r>
      <w:r>
        <w:rPr>
          <w:rFonts w:ascii="Times New Roman" w:hAnsi="Times New Roman"/>
          <w:b w:val="0"/>
          <w:i/>
          <w:sz w:val="24"/>
        </w:rPr>
        <w:t>is</w:t>
      </w:r>
      <w:r>
        <w:rPr>
          <w:rFonts w:ascii="Times New Roman" w:hAnsi="Times New Roman"/>
          <w:b w:val="0"/>
          <w:i w:val="0"/>
          <w:sz w:val="24"/>
        </w:rPr>
        <w:t xml:space="preserve"> ImageNet, so an ImageNet-pretrained backbone would arrive having already seen the negative class. Two further choices follow from the nature of the signal. Nothing downsamples before the end of the first block, because the cue is high-frequency and early pooling would destroy it. The head is global average pooling rather than a flatten, because the evidence is a location-free texture statistic rather than an object in a particular place. The receptive field at the final block is 76×76, 59% of the image width. Table 2 gives the training configuration.</w:t>
      </w:r>
    </w:p>
    <w:tbl>
      <w:tblPr>
        <w:tblStyle w:val="TableGrid"/>
        <w:tblW w:type="auto" w:w="0"/>
        <w:tblLayout w:type="fixed"/>
        <w:tblLook w:firstColumn="1" w:firstRow="1" w:lastColumn="0" w:lastRow="0" w:noHBand="0" w:noVBand="1" w:val="04A0"/>
      </w:tblPr>
      <w:tblGrid>
        <w:gridCol w:w="1701"/>
        <w:gridCol w:w="1701"/>
        <w:gridCol w:w="1701"/>
        <w:gridCol w:w="1701"/>
        <w:gridCol w:w="1701"/>
        <w:gridCol w:w="1701"/>
      </w:tblGrid>
      <w:tr>
        <w:trPr>
          <w:cantSplit/>
        </w:trPr>
        <w:tc>
          <w:tcPr>
            <w:tcW w:type="dxa" w:w="1701"/>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Optimizer</w:t>
            </w:r>
          </w:p>
        </w:tc>
        <w:tc>
          <w:tcPr>
            <w:tcW w:type="dxa" w:w="164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AdamW</w:t>
            </w:r>
          </w:p>
        </w:tc>
        <w:tc>
          <w:tcPr>
            <w:tcW w:type="dxa" w:w="1701"/>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Learning rate</w:t>
            </w:r>
          </w:p>
        </w:tc>
        <w:tc>
          <w:tcPr>
            <w:tcW w:type="dxa" w:w="1701"/>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3×10⁻⁴</w:t>
            </w:r>
          </w:p>
        </w:tc>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Weight decay</w:t>
            </w:r>
          </w:p>
        </w:tc>
        <w:tc>
          <w:tcPr>
            <w:tcW w:type="dxa" w:w="181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1×10⁻⁴</w:t>
            </w:r>
          </w:p>
        </w:tc>
      </w:tr>
      <w:tr>
        <w:trPr>
          <w:cantSplit/>
        </w:trPr>
        <w:tc>
          <w:tcPr>
            <w:tcW w:type="dxa" w:w="1701"/>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Scheduler</w:t>
            </w:r>
          </w:p>
        </w:tc>
        <w:tc>
          <w:tcPr>
            <w:tcW w:type="dxa" w:w="164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Cosine to 0</w:t>
            </w:r>
          </w:p>
        </w:tc>
        <w:tc>
          <w:tcPr>
            <w:tcW w:type="dxa" w:w="1701"/>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Batch size</w:t>
            </w:r>
          </w:p>
        </w:tc>
        <w:tc>
          <w:tcPr>
            <w:tcW w:type="dxa" w:w="1701"/>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128</w:t>
            </w:r>
          </w:p>
        </w:tc>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Epochs</w:t>
            </w:r>
          </w:p>
        </w:tc>
        <w:tc>
          <w:tcPr>
            <w:tcW w:type="dxa" w:w="181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40</w:t>
            </w:r>
          </w:p>
        </w:tc>
      </w:tr>
      <w:tr>
        <w:trPr>
          <w:cantSplit/>
        </w:trPr>
        <w:tc>
          <w:tcPr>
            <w:tcW w:type="dxa" w:w="1701"/>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Loss</w:t>
            </w:r>
          </w:p>
        </w:tc>
        <w:tc>
          <w:tcPr>
            <w:tcW w:type="dxa" w:w="164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BCE-with-logits</w:t>
            </w:r>
          </w:p>
        </w:tc>
        <w:tc>
          <w:tcPr>
            <w:tcW w:type="dxa" w:w="1701"/>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Precision</w:t>
            </w:r>
          </w:p>
        </w:tc>
        <w:tc>
          <w:tcPr>
            <w:tcW w:type="dxa" w:w="1701"/>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AMP float16</w:t>
            </w:r>
          </w:p>
        </w:tc>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Augmentation</w:t>
            </w:r>
          </w:p>
        </w:tc>
        <w:tc>
          <w:tcPr>
            <w:tcW w:type="dxa" w:w="181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h-flip p = 0.5</w:t>
            </w:r>
          </w:p>
        </w:tc>
      </w:tr>
      <w:tr>
        <w:trPr>
          <w:cantSplit/>
        </w:trPr>
        <w:tc>
          <w:tcPr>
            <w:tcW w:type="dxa" w:w="1701"/>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Normalization</w:t>
            </w:r>
          </w:p>
        </w:tc>
        <w:tc>
          <w:tcPr>
            <w:tcW w:type="dxa" w:w="164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(x/255 − 0.5)/0.5</w:t>
            </w:r>
          </w:p>
        </w:tc>
        <w:tc>
          <w:tcPr>
            <w:tcW w:type="dxa" w:w="1701"/>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Selection</w:t>
            </w:r>
          </w:p>
        </w:tc>
        <w:tc>
          <w:tcPr>
            <w:tcW w:type="dxa" w:w="1701"/>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best internal val</w:t>
            </w:r>
          </w:p>
        </w:tc>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Hardware</w:t>
            </w:r>
          </w:p>
        </w:tc>
        <w:tc>
          <w:tcPr>
            <w:tcW w:type="dxa" w:w="181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Colab T4, torch 2.11</w:t>
            </w:r>
          </w:p>
        </w:tc>
      </w:tr>
    </w:tbl>
    <w:p>
      <w:pPr>
        <w:spacing w:before="20" w:after="80" w:line="240" w:lineRule="auto"/>
        <w:jc w:val="both"/>
      </w:pPr>
      <w:r>
        <w:rPr>
          <w:rFonts w:ascii="Times New Roman" w:hAnsi="Times New Roman"/>
          <w:b/>
          <w:sz w:val="20"/>
        </w:rPr>
        <w:t>Table 2.</w:t>
      </w:r>
      <w:r>
        <w:rPr>
          <w:rFonts w:ascii="Times New Roman" w:hAnsi="Times New Roman"/>
          <w:sz w:val="20"/>
        </w:rPr>
        <w:t xml:space="preserve"> Training configuration, identical across all 56 runs. Horizontal flip is the only augmentation, and deliberately so: random resized cropping, JPEG jitter and blur all resample or re-encode the image, injecting the very artifact under study.</w:t>
      </w:r>
    </w:p>
    <w:p>
      <w:pPr>
        <w:spacing w:before="0" w:after="44" w:line="240" w:lineRule="auto"/>
        <w:jc w:val="both"/>
      </w:pPr>
      <w:r>
        <w:rPr>
          <w:rFonts w:ascii="Times New Roman" w:hAnsi="Times New Roman"/>
          <w:b/>
          <w:i w:val="0"/>
          <w:sz w:val="24"/>
        </w:rPr>
        <w:t>The four size-equalization strategies.</w:t>
      </w:r>
      <w:r>
        <w:rPr>
          <w:rFonts w:ascii="Times New Roman" w:hAnsi="Times New Roman"/>
          <w:b w:val="0"/>
          <w:i w:val="0"/>
          <w:sz w:val="24"/>
        </w:rPr>
        <w:t xml:space="preserve"> Each maps a native-resolution image to 128×128. </w:t>
      </w:r>
      <w:r>
        <w:rPr>
          <w:rFonts w:ascii="Consolas" w:hAnsi="Consolas"/>
          <w:b w:val="0"/>
          <w:i w:val="0"/>
          <w:sz w:val="23"/>
        </w:rPr>
        <w:t>center_crop</w:t>
      </w:r>
      <w:r>
        <w:rPr>
          <w:rFonts w:ascii="Times New Roman" w:hAnsi="Times New Roman"/>
          <w:b w:val="0"/>
          <w:i w:val="0"/>
          <w:sz w:val="24"/>
        </w:rPr>
        <w:t xml:space="preserve"> takes the central window; </w:t>
      </w:r>
      <w:r>
        <w:rPr>
          <w:rFonts w:ascii="Consolas" w:hAnsi="Consolas"/>
          <w:b w:val="0"/>
          <w:i w:val="0"/>
          <w:sz w:val="23"/>
        </w:rPr>
        <w:t>random_crop</w:t>
      </w:r>
      <w:r>
        <w:rPr>
          <w:rFonts w:ascii="Times New Roman" w:hAnsi="Times New Roman"/>
          <w:b w:val="0"/>
          <w:i w:val="0"/>
          <w:sz w:val="24"/>
        </w:rPr>
        <w:t xml:space="preserve"> takes a window at a random offset, drawn once per image from an index-seeded RNG; </w:t>
      </w:r>
      <w:r>
        <w:rPr>
          <w:rFonts w:ascii="Consolas" w:hAnsi="Consolas"/>
          <w:b w:val="0"/>
          <w:i w:val="0"/>
          <w:sz w:val="23"/>
        </w:rPr>
        <w:t>rescale</w:t>
      </w:r>
      <w:r>
        <w:rPr>
          <w:rFonts w:ascii="Times New Roman" w:hAnsi="Times New Roman"/>
          <w:b w:val="0"/>
          <w:i w:val="0"/>
          <w:sz w:val="24"/>
        </w:rPr>
        <w:t xml:space="preserve"> resizes the whole image bilinearly; </w:t>
      </w:r>
      <w:r>
        <w:rPr>
          <w:rFonts w:ascii="Consolas" w:hAnsi="Consolas"/>
          <w:b w:val="0"/>
          <w:i w:val="0"/>
          <w:sz w:val="23"/>
        </w:rPr>
        <w:t>pad</w:t>
      </w:r>
      <w:r>
        <w:rPr>
          <w:rFonts w:ascii="Times New Roman" w:hAnsi="Times New Roman"/>
          <w:b w:val="0"/>
          <w:i w:val="0"/>
          <w:sz w:val="24"/>
        </w:rPr>
        <w:t xml:space="preserve"> scales the long side to 128 preserving aspect ratio and zero-pads to square. The first two preserve native pixel statistics and discard content; the last two resample, and pad additionally adds a border. Two structural properties of this design matter later. First, </w:t>
      </w:r>
      <w:r>
        <w:rPr>
          <w:rFonts w:ascii="Times New Roman" w:hAnsi="Times New Roman"/>
          <w:b/>
          <w:i w:val="0"/>
          <w:sz w:val="24"/>
        </w:rPr>
        <w:t>all seven generators emit square images</w:t>
      </w:r>
      <w:r>
        <w:rPr>
          <w:rFonts w:ascii="Times New Roman" w:hAnsi="Times New Roman"/>
          <w:b w:val="0"/>
          <w:i w:val="0"/>
          <w:sz w:val="24"/>
        </w:rPr>
        <w:t xml:space="preserve">, so pad and rescale are identical on every generated image and differ only on the real class, which makes that pair a clean intervention on real photographs alone. Second, BigGAN is natively 128², so all four strategies are the </w:t>
      </w:r>
      <w:r>
        <w:rPr>
          <w:rFonts w:ascii="Times New Roman" w:hAnsi="Times New Roman"/>
          <w:b w:val="0"/>
          <w:i/>
          <w:sz w:val="24"/>
        </w:rPr>
        <w:t>identity</w:t>
      </w:r>
      <w:r>
        <w:rPr>
          <w:rFonts w:ascii="Times New Roman" w:hAnsi="Times New Roman"/>
          <w:b w:val="0"/>
          <w:i w:val="0"/>
          <w:sz w:val="24"/>
        </w:rPr>
        <w:t xml:space="preserve"> on BigGAN images, so any variation in its training distribution comes purely from the real class.</w:t>
      </w:r>
    </w:p>
    <w:p>
      <w:pPr>
        <w:spacing w:before="0" w:after="44" w:line="240" w:lineRule="auto"/>
        <w:jc w:val="both"/>
      </w:pPr>
      <w:r>
        <w:rPr>
          <w:rFonts w:ascii="Times New Roman" w:hAnsi="Times New Roman"/>
          <w:b/>
          <w:i w:val="0"/>
          <w:sz w:val="24"/>
        </w:rPr>
        <w:t>Baselines and protocol.</w:t>
      </w:r>
      <w:r>
        <w:rPr>
          <w:rFonts w:ascii="Times New Roman" w:hAnsi="Times New Roman"/>
          <w:b w:val="0"/>
          <w:i w:val="0"/>
          <w:sz w:val="24"/>
        </w:rPr>
        <w:t xml:space="preserve"> Two zero-parameter rules fix how much size alone explains. The </w:t>
      </w:r>
      <w:r>
        <w:rPr>
          <w:rFonts w:ascii="Times New Roman" w:hAnsi="Times New Roman"/>
          <w:b w:val="0"/>
          <w:i/>
          <w:sz w:val="24"/>
        </w:rPr>
        <w:t>square rule</w:t>
      </w:r>
      <w:r>
        <w:rPr>
          <w:rFonts w:ascii="Times New Roman" w:hAnsi="Times New Roman"/>
          <w:b w:val="0"/>
          <w:i w:val="0"/>
          <w:sz w:val="24"/>
        </w:rPr>
        <w:t xml:space="preserve"> predicts synthetic if the image is square. The </w:t>
      </w:r>
      <w:r>
        <w:rPr>
          <w:rFonts w:ascii="Times New Roman" w:hAnsi="Times New Roman"/>
          <w:b w:val="0"/>
          <w:i/>
          <w:sz w:val="24"/>
        </w:rPr>
        <w:t>size-lookup rule</w:t>
      </w:r>
      <w:r>
        <w:rPr>
          <w:rFonts w:ascii="Times New Roman" w:hAnsi="Times New Roman"/>
          <w:b w:val="0"/>
          <w:i w:val="0"/>
          <w:sz w:val="24"/>
        </w:rPr>
        <w:t xml:space="preserve"> predicts synthetic if the test resolution is among those the training generator emits. The full design is 4 strategies × 7 source generators × 2 seeds = </w:t>
      </w:r>
      <w:r>
        <w:rPr>
          <w:rFonts w:ascii="Times New Roman" w:hAnsi="Times New Roman"/>
          <w:b/>
          <w:i w:val="0"/>
          <w:sz w:val="24"/>
        </w:rPr>
        <w:t>56 training runs</w:t>
      </w:r>
      <w:r>
        <w:rPr>
          <w:rFonts w:ascii="Times New Roman" w:hAnsi="Times New Roman"/>
          <w:b w:val="0"/>
          <w:i w:val="0"/>
          <w:sz w:val="24"/>
        </w:rPr>
        <w:t>, each evaluated on all seven targets, yielding four 7×7 transfer matrices. Total compute was roughly 2 GPU-hours (127 s per run) on a free-tier T4.</w:t>
      </w:r>
    </w:p>
    <w:p>
      <w:pPr>
        <w:spacing w:before="120" w:after="40" w:line="240" w:lineRule="auto"/>
        <w:jc w:val="left"/>
      </w:pPr>
      <w:r>
        <w:rPr>
          <w:rFonts w:ascii="Times New Roman" w:hAnsi="Times New Roman"/>
          <w:b/>
          <w:i w:val="0"/>
          <w:color w:val="1F3F6E"/>
          <w:sz w:val="26"/>
        </w:rPr>
        <w:t>5  Results</w:t>
      </w:r>
    </w:p>
    <w:tbl>
      <w:tblPr>
        <w:tblStyle w:val="TableGrid"/>
        <w:tblW w:type="auto" w:w="0"/>
        <w:tblLayout w:type="fixed"/>
        <w:tblLook w:firstColumn="1" w:firstRow="1" w:lastColumn="0" w:lastRow="0" w:noHBand="0" w:noVBand="1" w:val="04A0"/>
      </w:tblPr>
      <w:tblGrid>
        <w:gridCol w:w="2551"/>
        <w:gridCol w:w="2551"/>
        <w:gridCol w:w="2551"/>
        <w:gridCol w:w="2551"/>
      </w:tblGrid>
      <w:tr>
        <w:trPr>
          <w:cantSplit/>
        </w:trPr>
        <w:tc>
          <w:tcPr>
            <w:tcW w:type="dxa" w:w="3628"/>
            <w:vAlign w:val="center"/>
            <w:tcMar>
              <w:top w:w="14" w:type="dxa"/>
              <w:bottom w:w="14" w:type="dxa"/>
              <w:left w:w="40" w:type="dxa"/>
              <w:right w:w="40" w:type="dxa"/>
            </w:tcMar>
            <w:shd w:val="clear" w:fill="E8EDF5"/>
          </w:tcPr>
          <w:p>
            <w:pPr>
              <w:keepNext/>
              <w:spacing w:before="10" w:after="10" w:line="240" w:lineRule="auto"/>
              <w:jc w:val="left"/>
            </w:pPr>
            <w:r>
              <w:rPr>
                <w:rFonts w:ascii="Times New Roman" w:hAnsi="Times New Roman"/>
                <w:b/>
                <w:sz w:val="19"/>
              </w:rPr>
              <w:t>Method</w:t>
            </w:r>
          </w:p>
        </w:tc>
        <w:tc>
          <w:tcPr>
            <w:tcW w:type="dxa" w:w="2211"/>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Diagonal (in-domain)</w:t>
            </w:r>
          </w:p>
        </w:tc>
        <w:tc>
          <w:tcPr>
            <w:tcW w:type="dxa" w:w="2211"/>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Off-diagonal (transfer)</w:t>
            </w:r>
          </w:p>
        </w:tc>
        <w:tc>
          <w:tcPr>
            <w:tcW w:type="dxa" w:w="2154"/>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Gap</w:t>
            </w:r>
          </w:p>
        </w:tc>
      </w:tr>
      <w:tr>
        <w:trPr>
          <w:cantSplit/>
        </w:trPr>
        <w:tc>
          <w:tcPr>
            <w:tcW w:type="dxa" w:w="3628"/>
            <w:vAlign w:val="center"/>
            <w:tcMar>
              <w:top w:w="14" w:type="dxa"/>
              <w:bottom w:w="14" w:type="dxa"/>
              <w:left w:w="40" w:type="dxa"/>
              <w:right w:w="40" w:type="dxa"/>
            </w:tcMar>
          </w:tcPr>
          <w:p>
            <w:pPr>
              <w:keepNext/>
              <w:spacing w:before="10" w:after="10" w:line="240" w:lineRule="auto"/>
              <w:jc w:val="left"/>
            </w:pPr>
            <w:r>
              <w:rPr>
                <w:rFonts w:ascii="Consolas" w:hAnsi="Consolas"/>
                <w:b w:val="0"/>
                <w:sz w:val="19"/>
              </w:rPr>
              <w:t>center_crop</w:t>
            </w:r>
          </w:p>
        </w:tc>
        <w:tc>
          <w:tcPr>
            <w:tcW w:type="dxa" w:w="2211"/>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0.908</w:t>
            </w:r>
          </w:p>
        </w:tc>
        <w:tc>
          <w:tcPr>
            <w:tcW w:type="dxa" w:w="2211"/>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0.655</w:t>
            </w:r>
          </w:p>
        </w:tc>
        <w:tc>
          <w:tcPr>
            <w:tcW w:type="dxa" w:w="2154"/>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0.254</w:t>
            </w:r>
          </w:p>
        </w:tc>
      </w:tr>
      <w:tr>
        <w:trPr>
          <w:cantSplit/>
        </w:trPr>
        <w:tc>
          <w:tcPr>
            <w:tcW w:type="dxa" w:w="3628"/>
            <w:vAlign w:val="center"/>
            <w:tcMar>
              <w:top w:w="14" w:type="dxa"/>
              <w:bottom w:w="14" w:type="dxa"/>
              <w:left w:w="40" w:type="dxa"/>
              <w:right w:w="40" w:type="dxa"/>
            </w:tcMar>
          </w:tcPr>
          <w:p>
            <w:pPr>
              <w:keepNext/>
              <w:spacing w:before="10" w:after="10" w:line="240" w:lineRule="auto"/>
              <w:jc w:val="left"/>
            </w:pPr>
            <w:r>
              <w:rPr>
                <w:rFonts w:ascii="Consolas" w:hAnsi="Consolas"/>
                <w:b w:val="0"/>
                <w:sz w:val="19"/>
              </w:rPr>
              <w:t>random_crop</w:t>
            </w:r>
          </w:p>
        </w:tc>
        <w:tc>
          <w:tcPr>
            <w:tcW w:type="dxa" w:w="2211"/>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0.892</w:t>
            </w:r>
          </w:p>
        </w:tc>
        <w:tc>
          <w:tcPr>
            <w:tcW w:type="dxa" w:w="2211"/>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0.645</w:t>
            </w:r>
          </w:p>
        </w:tc>
        <w:tc>
          <w:tcPr>
            <w:tcW w:type="dxa" w:w="2154"/>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0.247</w:t>
            </w:r>
          </w:p>
        </w:tc>
      </w:tr>
      <w:tr>
        <w:trPr>
          <w:cantSplit/>
        </w:trPr>
        <w:tc>
          <w:tcPr>
            <w:tcW w:type="dxa" w:w="3628"/>
            <w:vAlign w:val="center"/>
            <w:tcMar>
              <w:top w:w="14" w:type="dxa"/>
              <w:bottom w:w="14" w:type="dxa"/>
              <w:left w:w="40" w:type="dxa"/>
              <w:right w:w="40" w:type="dxa"/>
            </w:tcMar>
          </w:tcPr>
          <w:p>
            <w:pPr>
              <w:keepNext/>
              <w:spacing w:before="10" w:after="10" w:line="240" w:lineRule="auto"/>
              <w:jc w:val="left"/>
            </w:pPr>
            <w:r>
              <w:rPr>
                <w:rFonts w:ascii="Consolas" w:hAnsi="Consolas"/>
                <w:b w:val="0"/>
                <w:sz w:val="19"/>
              </w:rPr>
              <w:t>rescale</w:t>
            </w:r>
          </w:p>
        </w:tc>
        <w:tc>
          <w:tcPr>
            <w:tcW w:type="dxa" w:w="2211"/>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0.902</w:t>
            </w:r>
          </w:p>
        </w:tc>
        <w:tc>
          <w:tcPr>
            <w:tcW w:type="dxa" w:w="2211"/>
            <w:vAlign w:val="center"/>
            <w:tcMar>
              <w:top w:w="14" w:type="dxa"/>
              <w:bottom w:w="14" w:type="dxa"/>
              <w:left w:w="40" w:type="dxa"/>
              <w:right w:w="40" w:type="dxa"/>
            </w:tcMar>
          </w:tcPr>
          <w:p>
            <w:pPr>
              <w:keepNext/>
              <w:spacing w:before="10" w:after="10" w:line="240" w:lineRule="auto"/>
              <w:jc w:val="center"/>
            </w:pPr>
            <w:r>
              <w:rPr>
                <w:rFonts w:ascii="Times New Roman" w:hAnsi="Times New Roman"/>
                <w:b/>
                <w:sz w:val="19"/>
              </w:rPr>
              <w:t>0.563</w:t>
            </w:r>
          </w:p>
        </w:tc>
        <w:tc>
          <w:tcPr>
            <w:tcW w:type="dxa" w:w="2154"/>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0.338</w:t>
            </w:r>
          </w:p>
        </w:tc>
      </w:tr>
      <w:tr>
        <w:trPr>
          <w:cantSplit/>
        </w:trPr>
        <w:tc>
          <w:tcPr>
            <w:tcW w:type="dxa" w:w="3628"/>
            <w:vAlign w:val="center"/>
            <w:tcMar>
              <w:top w:w="14" w:type="dxa"/>
              <w:bottom w:w="14" w:type="dxa"/>
              <w:left w:w="40" w:type="dxa"/>
              <w:right w:w="40" w:type="dxa"/>
            </w:tcMar>
          </w:tcPr>
          <w:p>
            <w:pPr>
              <w:keepNext/>
              <w:spacing w:before="10" w:after="10" w:line="240" w:lineRule="auto"/>
              <w:jc w:val="left"/>
            </w:pPr>
            <w:r>
              <w:rPr>
                <w:rFonts w:ascii="Consolas" w:hAnsi="Consolas"/>
                <w:b w:val="0"/>
                <w:sz w:val="19"/>
              </w:rPr>
              <w:t>pad</w:t>
            </w:r>
          </w:p>
        </w:tc>
        <w:tc>
          <w:tcPr>
            <w:tcW w:type="dxa" w:w="2211"/>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0.978</w:t>
            </w:r>
          </w:p>
        </w:tc>
        <w:tc>
          <w:tcPr>
            <w:tcW w:type="dxa" w:w="2211"/>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0.828</w:t>
            </w:r>
          </w:p>
        </w:tc>
        <w:tc>
          <w:tcPr>
            <w:tcW w:type="dxa" w:w="2154"/>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0.150</w:t>
            </w:r>
          </w:p>
        </w:tc>
      </w:tr>
      <w:tr>
        <w:trPr>
          <w:cantSplit/>
        </w:trPr>
        <w:tc>
          <w:tcPr>
            <w:tcW w:type="dxa" w:w="3628"/>
            <w:vAlign w:val="center"/>
            <w:tcMar>
              <w:top w:w="14" w:type="dxa"/>
              <w:bottom w:w="14" w:type="dxa"/>
              <w:left w:w="40" w:type="dxa"/>
              <w:right w:w="40" w:type="dxa"/>
            </w:tcMar>
            <w:shd w:val="clear" w:fill="FBF3E8"/>
          </w:tcPr>
          <w:p>
            <w:pPr>
              <w:keepNext/>
              <w:spacing w:before="10" w:after="10" w:line="240" w:lineRule="auto"/>
              <w:jc w:val="left"/>
            </w:pPr>
            <w:r>
              <w:rPr>
                <w:rFonts w:ascii="Times New Roman" w:hAnsi="Times New Roman"/>
                <w:b w:val="0"/>
                <w:sz w:val="19"/>
              </w:rPr>
              <w:t>square rule (0 parameters)</w:t>
            </w:r>
          </w:p>
        </w:tc>
        <w:tc>
          <w:tcPr>
            <w:tcW w:type="dxa" w:w="2211"/>
            <w:vAlign w:val="center"/>
            <w:tcMar>
              <w:top w:w="14" w:type="dxa"/>
              <w:bottom w:w="14" w:type="dxa"/>
              <w:left w:w="40" w:type="dxa"/>
              <w:right w:w="40" w:type="dxa"/>
            </w:tcMar>
            <w:shd w:val="clear" w:fill="FBF3E8"/>
          </w:tcPr>
          <w:p>
            <w:pPr>
              <w:keepNext/>
              <w:spacing w:before="10" w:after="10" w:line="240" w:lineRule="auto"/>
              <w:jc w:val="center"/>
            </w:pPr>
            <w:r>
              <w:rPr>
                <w:rFonts w:ascii="Times New Roman" w:hAnsi="Times New Roman"/>
                <w:b w:val="0"/>
                <w:sz w:val="19"/>
              </w:rPr>
              <w:t>0.977</w:t>
            </w:r>
          </w:p>
        </w:tc>
        <w:tc>
          <w:tcPr>
            <w:tcW w:type="dxa" w:w="2211"/>
            <w:vAlign w:val="center"/>
            <w:tcMar>
              <w:top w:w="14" w:type="dxa"/>
              <w:bottom w:w="14" w:type="dxa"/>
              <w:left w:w="40" w:type="dxa"/>
              <w:right w:w="40" w:type="dxa"/>
            </w:tcMar>
            <w:shd w:val="clear" w:fill="FBF3E8"/>
          </w:tcPr>
          <w:p>
            <w:pPr>
              <w:keepNext/>
              <w:spacing w:before="10" w:after="10" w:line="240" w:lineRule="auto"/>
              <w:jc w:val="center"/>
            </w:pPr>
            <w:r>
              <w:rPr>
                <w:rFonts w:ascii="Times New Roman" w:hAnsi="Times New Roman"/>
                <w:b/>
                <w:sz w:val="19"/>
              </w:rPr>
              <w:t>0.977</w:t>
            </w:r>
          </w:p>
        </w:tc>
        <w:tc>
          <w:tcPr>
            <w:tcW w:type="dxa" w:w="2154"/>
            <w:vAlign w:val="center"/>
            <w:tcMar>
              <w:top w:w="14" w:type="dxa"/>
              <w:bottom w:w="14" w:type="dxa"/>
              <w:left w:w="40" w:type="dxa"/>
              <w:right w:w="40" w:type="dxa"/>
            </w:tcMar>
            <w:shd w:val="clear" w:fill="FBF3E8"/>
          </w:tcPr>
          <w:p>
            <w:pPr>
              <w:keepNext/>
              <w:spacing w:before="10" w:after="10" w:line="240" w:lineRule="auto"/>
              <w:jc w:val="center"/>
            </w:pPr>
            <w:r>
              <w:rPr>
                <w:rFonts w:ascii="Times New Roman" w:hAnsi="Times New Roman"/>
                <w:b w:val="0"/>
                <w:sz w:val="19"/>
              </w:rPr>
              <w:t>0.000</w:t>
            </w:r>
          </w:p>
        </w:tc>
      </w:tr>
      <w:tr>
        <w:trPr>
          <w:cantSplit/>
        </w:trPr>
        <w:tc>
          <w:tcPr>
            <w:tcW w:type="dxa" w:w="3628"/>
            <w:vAlign w:val="center"/>
            <w:tcMar>
              <w:top w:w="14" w:type="dxa"/>
              <w:bottom w:w="14" w:type="dxa"/>
              <w:left w:w="40" w:type="dxa"/>
              <w:right w:w="40" w:type="dxa"/>
            </w:tcMar>
            <w:shd w:val="clear" w:fill="FBF3E8"/>
          </w:tcPr>
          <w:p>
            <w:pPr>
              <w:keepNext/>
              <w:spacing w:before="10" w:after="10" w:line="240" w:lineRule="auto"/>
              <w:jc w:val="left"/>
            </w:pPr>
            <w:r>
              <w:rPr>
                <w:rFonts w:ascii="Times New Roman" w:hAnsi="Times New Roman"/>
                <w:b w:val="0"/>
                <w:sz w:val="19"/>
              </w:rPr>
              <w:t>size-lookup rule (0 parameters)</w:t>
            </w:r>
          </w:p>
        </w:tc>
        <w:tc>
          <w:tcPr>
            <w:tcW w:type="dxa" w:w="2211"/>
            <w:vAlign w:val="center"/>
            <w:tcMar>
              <w:top w:w="14" w:type="dxa"/>
              <w:bottom w:w="14" w:type="dxa"/>
              <w:left w:w="40" w:type="dxa"/>
              <w:right w:w="40" w:type="dxa"/>
            </w:tcMar>
            <w:shd w:val="clear" w:fill="FBF3E8"/>
          </w:tcPr>
          <w:p>
            <w:pPr>
              <w:keepNext/>
              <w:spacing w:before="10" w:after="10" w:line="240" w:lineRule="auto"/>
              <w:jc w:val="center"/>
            </w:pPr>
            <w:r>
              <w:rPr>
                <w:rFonts w:ascii="Times New Roman" w:hAnsi="Times New Roman"/>
                <w:b w:val="0"/>
                <w:sz w:val="19"/>
              </w:rPr>
              <w:t>1.000</w:t>
            </w:r>
          </w:p>
        </w:tc>
        <w:tc>
          <w:tcPr>
            <w:tcW w:type="dxa" w:w="2211"/>
            <w:vAlign w:val="center"/>
            <w:tcMar>
              <w:top w:w="14" w:type="dxa"/>
              <w:bottom w:w="14" w:type="dxa"/>
              <w:left w:w="40" w:type="dxa"/>
              <w:right w:w="40" w:type="dxa"/>
            </w:tcMar>
            <w:shd w:val="clear" w:fill="FBF3E8"/>
          </w:tcPr>
          <w:p>
            <w:pPr>
              <w:keepNext/>
              <w:spacing w:before="10" w:after="10" w:line="240" w:lineRule="auto"/>
              <w:jc w:val="center"/>
            </w:pPr>
            <w:r>
              <w:rPr>
                <w:rFonts w:ascii="Times New Roman" w:hAnsi="Times New Roman"/>
                <w:b w:val="0"/>
                <w:sz w:val="19"/>
              </w:rPr>
              <w:t>0.619</w:t>
            </w:r>
          </w:p>
        </w:tc>
        <w:tc>
          <w:tcPr>
            <w:tcW w:type="dxa" w:w="2154"/>
            <w:vAlign w:val="center"/>
            <w:tcMar>
              <w:top w:w="14" w:type="dxa"/>
              <w:bottom w:w="14" w:type="dxa"/>
              <w:left w:w="40" w:type="dxa"/>
              <w:right w:w="40" w:type="dxa"/>
            </w:tcMar>
            <w:shd w:val="clear" w:fill="FBF3E8"/>
          </w:tcPr>
          <w:p>
            <w:pPr>
              <w:keepNext/>
              <w:spacing w:before="10" w:after="10" w:line="240" w:lineRule="auto"/>
              <w:jc w:val="center"/>
            </w:pPr>
            <w:r>
              <w:rPr>
                <w:rFonts w:ascii="Times New Roman" w:hAnsi="Times New Roman"/>
                <w:b w:val="0"/>
                <w:sz w:val="19"/>
              </w:rPr>
              <w:t>0.381</w:t>
            </w:r>
          </w:p>
        </w:tc>
      </w:tr>
    </w:tbl>
    <w:p>
      <w:pPr>
        <w:spacing w:before="20" w:after="80" w:line="240" w:lineRule="auto"/>
        <w:jc w:val="both"/>
      </w:pPr>
      <w:r>
        <w:rPr>
          <w:rFonts w:ascii="Times New Roman" w:hAnsi="Times New Roman"/>
          <w:b/>
          <w:sz w:val="20"/>
        </w:rPr>
        <w:t>Table 3.</w:t>
      </w:r>
      <w:r>
        <w:rPr>
          <w:rFonts w:ascii="Times New Roman" w:hAnsi="Times New Roman"/>
          <w:sz w:val="20"/>
        </w:rPr>
        <w:t xml:space="preserve"> In-domain versus cross-generator accuracy, averaged over two seeds. The three non-padding strategies agree closely on the diagonal (0.892 to 0.908), so they are equally capable detectors in-distribution; they separate on transfer, where rescale gives up a further 8 to 9 points. The square rule, which never inspects a pixel, transfers better than every trained detector, including pad, whose apparent advantage is an artifact rather than a success.</w:t>
      </w:r>
    </w:p>
    <w:p>
      <w:pPr>
        <w:spacing w:before="0" w:after="44" w:line="240" w:lineRule="auto"/>
        <w:jc w:val="both"/>
      </w:pPr>
      <w:r>
        <w:rPr>
          <w:rFonts w:ascii="Times New Roman" w:hAnsi="Times New Roman"/>
          <w:b/>
          <w:i w:val="0"/>
          <w:sz w:val="24"/>
        </w:rPr>
        <w:t>The confound is real, and it is resolution.</w:t>
      </w:r>
      <w:r>
        <w:rPr>
          <w:rFonts w:ascii="Times New Roman" w:hAnsi="Times New Roman"/>
          <w:b w:val="0"/>
          <w:i w:val="0"/>
          <w:sz w:val="24"/>
        </w:rPr>
        <w:t xml:space="preserve"> The square rule scores </w:t>
      </w:r>
      <w:r>
        <w:rPr>
          <w:rFonts w:ascii="Times New Roman" w:hAnsi="Times New Roman"/>
          <w:b/>
          <w:i w:val="0"/>
          <w:sz w:val="24"/>
        </w:rPr>
        <w:t>0.977</w:t>
      </w:r>
      <w:r>
        <w:rPr>
          <w:rFonts w:ascii="Times New Roman" w:hAnsi="Times New Roman"/>
          <w:b w:val="0"/>
          <w:i w:val="0"/>
          <w:sz w:val="24"/>
        </w:rPr>
        <w:t xml:space="preserve"> uniformly across all 49 cells (TPR 1.000, TNR 0.954), because every generated image in this dataset is square and 95.4% of real photographs are not. The size-lookup rule is sharper still and exposes the mechanism exactly: it scores </w:t>
      </w:r>
      <w:r>
        <w:rPr>
          <w:rFonts w:ascii="Times New Roman" w:hAnsi="Times New Roman"/>
          <w:b/>
          <w:i w:val="0"/>
          <w:sz w:val="24"/>
        </w:rPr>
        <w:t>1.000 whenever the source and target generators share a native resolution and exactly 0.500 whenever they do not</w:t>
      </w:r>
      <w:r>
        <w:rPr>
          <w:rFonts w:ascii="Times New Roman" w:hAnsi="Times New Roman"/>
          <w:b w:val="0"/>
          <w:i w:val="0"/>
          <w:sz w:val="24"/>
        </w:rPr>
        <w:t>, in 47 of 49 cells. The exceptions are Midjourney to SD15 and Wukong, where the single 512² Midjourney row widens the lookup set and lifts that rule's off-diagonal from 0.595 to the 0.619 reported above. Neither rule measures anything about the generative process; this is the shortcut every trained detector competes against.</w:t>
      </w:r>
    </w:p>
    <w:p>
      <w:pPr>
        <w:keepNext/>
        <w:spacing w:before="40" w:after="20"/>
        <w:jc w:val="center"/>
      </w:pPr>
      <w:r>
        <w:drawing>
          <wp:inline xmlns:a="http://schemas.openxmlformats.org/drawingml/2006/main" xmlns:pic="http://schemas.openxmlformats.org/drawingml/2006/picture">
            <wp:extent cx="4284000" cy="4708091"/>
            <wp:docPr id="1" name="Picture 1"/>
            <wp:cNvGraphicFramePr>
              <a:graphicFrameLocks noChangeAspect="1"/>
            </wp:cNvGraphicFramePr>
            <a:graphic>
              <a:graphicData uri="http://schemas.openxmlformats.org/drawingml/2006/picture">
                <pic:pic>
                  <pic:nvPicPr>
                    <pic:cNvPr id="0" name="transfer_matrices_arms_report.png"/>
                    <pic:cNvPicPr/>
                  </pic:nvPicPr>
                  <pic:blipFill>
                    <a:blip r:embed="rId9"/>
                    <a:stretch>
                      <a:fillRect/>
                    </a:stretch>
                  </pic:blipFill>
                  <pic:spPr>
                    <a:xfrm>
                      <a:off x="0" y="0"/>
                      <a:ext cx="4284000" cy="4708091"/>
                    </a:xfrm>
                    <a:prstGeom prst="rect"/>
                  </pic:spPr>
                </pic:pic>
              </a:graphicData>
            </a:graphic>
          </wp:inline>
        </w:drawing>
      </w:r>
    </w:p>
    <w:p>
      <w:pPr>
        <w:spacing w:before="20" w:after="80" w:line="240" w:lineRule="auto"/>
        <w:jc w:val="both"/>
      </w:pPr>
      <w:r>
        <w:rPr>
          <w:rFonts w:ascii="Times New Roman" w:hAnsi="Times New Roman"/>
          <w:b/>
          <w:sz w:val="20"/>
        </w:rPr>
        <w:t>Figure 1.</w:t>
      </w:r>
      <w:r>
        <w:rPr>
          <w:rFonts w:ascii="Times New Roman" w:hAnsi="Times New Roman"/>
          <w:sz w:val="20"/>
        </w:rPr>
        <w:t xml:space="preserve"> Cross-generator transfer accuracy under each size-equalization strategy. Rows are the generator a detector trained on, columns the generator it was evaluated on; each cell is the mean of two seeds over n = 1,000 balanced images, and all four panels share one color scale. The diagonals are broadly similar, so all four strategies give comparable in-distribution detectors; the off-diagonal structure is not, and that difference is the result. ADM's row is the clearest case: strong under center_crop and random_crop, at chance under rescale.</w:t>
      </w:r>
    </w:p>
    <w:p>
      <w:pPr>
        <w:keepNext/>
        <w:spacing w:before="40" w:after="20"/>
        <w:jc w:val="center"/>
      </w:pPr>
      <w:r>
        <w:drawing>
          <wp:inline xmlns:a="http://schemas.openxmlformats.org/drawingml/2006/main" xmlns:pic="http://schemas.openxmlformats.org/drawingml/2006/picture">
            <wp:extent cx="4284000" cy="1870990"/>
            <wp:docPr id="2" name="Picture 2"/>
            <wp:cNvGraphicFramePr>
              <a:graphicFrameLocks noChangeAspect="1"/>
            </wp:cNvGraphicFramePr>
            <a:graphic>
              <a:graphicData uri="http://schemas.openxmlformats.org/drawingml/2006/picture">
                <pic:pic>
                  <pic:nvPicPr>
                    <pic:cNvPr id="0" name="ranking_report.png"/>
                    <pic:cNvPicPr/>
                  </pic:nvPicPr>
                  <pic:blipFill>
                    <a:blip r:embed="rId10"/>
                    <a:stretch>
                      <a:fillRect/>
                    </a:stretch>
                  </pic:blipFill>
                  <pic:spPr>
                    <a:xfrm>
                      <a:off x="0" y="0"/>
                      <a:ext cx="4284000" cy="1870990"/>
                    </a:xfrm>
                    <a:prstGeom prst="rect"/>
                  </pic:spPr>
                </pic:pic>
              </a:graphicData>
            </a:graphic>
          </wp:inline>
        </w:drawing>
      </w:r>
    </w:p>
    <w:p>
      <w:pPr>
        <w:spacing w:before="20" w:after="80" w:line="240" w:lineRule="auto"/>
        <w:jc w:val="both"/>
      </w:pPr>
      <w:r>
        <w:rPr>
          <w:rFonts w:ascii="Times New Roman" w:hAnsi="Times New Roman"/>
          <w:b/>
          <w:sz w:val="20"/>
        </w:rPr>
        <w:t>Figure 2.</w:t>
      </w:r>
      <w:r>
        <w:rPr>
          <w:rFonts w:ascii="Times New Roman" w:hAnsi="Times New Roman"/>
          <w:sz w:val="20"/>
        </w:rPr>
        <w:t xml:space="preserve"> Left: mean off-diagonal accuracy of each generator used as a training source, under each strategy; the vertical order of the lines is the ranking. Right: Spearman ρ between the four rankings, with exact permutation p-values. The two strategies that do not resample almost coincide (ρ = +0.964), which shows the ranking is a stable property of the data. Rescaling reorders it, and ADM in particular falls from first place to last.</w:t>
      </w:r>
    </w:p>
    <w:tbl>
      <w:tblPr>
        <w:tblStyle w:val="TableGrid"/>
        <w:tblW w:type="auto" w:w="0"/>
        <w:tblLayout w:type="fixed"/>
        <w:tblLook w:firstColumn="1" w:firstRow="1" w:lastColumn="0" w:lastRow="0" w:noHBand="0" w:noVBand="1" w:val="04A0"/>
      </w:tblPr>
      <w:tblGrid>
        <w:gridCol w:w="2551"/>
        <w:gridCol w:w="2551"/>
        <w:gridCol w:w="2551"/>
        <w:gridCol w:w="2551"/>
      </w:tblGrid>
      <w:tr>
        <w:trPr>
          <w:cantSplit/>
        </w:trPr>
        <w:tc>
          <w:tcPr>
            <w:tcW w:type="dxa" w:w="2948"/>
            <w:vAlign w:val="center"/>
            <w:tcMar>
              <w:top w:w="14" w:type="dxa"/>
              <w:bottom w:w="14" w:type="dxa"/>
              <w:left w:w="40" w:type="dxa"/>
              <w:right w:w="40" w:type="dxa"/>
            </w:tcMar>
            <w:shd w:val="clear" w:fill="E8EDF5"/>
          </w:tcPr>
          <w:p>
            <w:pPr>
              <w:keepNext/>
              <w:spacing w:before="10" w:after="10" w:line="240" w:lineRule="auto"/>
              <w:jc w:val="left"/>
            </w:pPr>
            <w:r>
              <w:rPr>
                <w:rFonts w:ascii="Times New Roman" w:hAnsi="Times New Roman"/>
                <w:b/>
                <w:sz w:val="19"/>
              </w:rPr>
              <w:t>Strategy pair</w:t>
            </w:r>
          </w:p>
        </w:tc>
        <w:tc>
          <w:tcPr>
            <w:tcW w:type="dxa" w:w="1928"/>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ρ  (exact p)</w:t>
            </w:r>
          </w:p>
        </w:tc>
        <w:tc>
          <w:tcPr>
            <w:tcW w:type="dxa" w:w="2948"/>
            <w:vAlign w:val="center"/>
            <w:tcMar>
              <w:top w:w="14" w:type="dxa"/>
              <w:bottom w:w="14" w:type="dxa"/>
              <w:left w:w="40" w:type="dxa"/>
              <w:right w:w="40" w:type="dxa"/>
            </w:tcMar>
            <w:shd w:val="clear" w:fill="E8EDF5"/>
          </w:tcPr>
          <w:p>
            <w:pPr>
              <w:keepNext/>
              <w:spacing w:before="10" w:after="10" w:line="240" w:lineRule="auto"/>
              <w:jc w:val="left"/>
            </w:pPr>
            <w:r>
              <w:rPr>
                <w:rFonts w:ascii="Times New Roman" w:hAnsi="Times New Roman"/>
                <w:b/>
                <w:sz w:val="19"/>
              </w:rPr>
              <w:t>Strategy pair</w:t>
            </w:r>
          </w:p>
        </w:tc>
        <w:tc>
          <w:tcPr>
            <w:tcW w:type="dxa" w:w="2381"/>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ρ  (exact p)</w:t>
            </w:r>
          </w:p>
        </w:tc>
      </w:tr>
      <w:tr>
        <w:trPr>
          <w:cantSplit/>
        </w:trPr>
        <w:tc>
          <w:tcPr>
            <w:tcW w:type="dxa" w:w="2948"/>
            <w:vAlign w:val="center"/>
            <w:tcMar>
              <w:top w:w="14" w:type="dxa"/>
              <w:bottom w:w="14" w:type="dxa"/>
              <w:left w:w="40" w:type="dxa"/>
              <w:right w:w="40" w:type="dxa"/>
            </w:tcMar>
          </w:tcPr>
          <w:p>
            <w:pPr>
              <w:keepNext/>
              <w:spacing w:before="10" w:after="10" w:line="240" w:lineRule="auto"/>
              <w:jc w:val="left"/>
            </w:pPr>
            <w:r>
              <w:rPr>
                <w:rFonts w:ascii="Consolas" w:hAnsi="Consolas"/>
                <w:b/>
                <w:sz w:val="19"/>
              </w:rPr>
              <w:t>center_crop / random_crop</w:t>
            </w:r>
          </w:p>
        </w:tc>
        <w:tc>
          <w:tcPr>
            <w:tcW w:type="dxa" w:w="1928"/>
            <w:vAlign w:val="center"/>
            <w:tcMar>
              <w:top w:w="14" w:type="dxa"/>
              <w:bottom w:w="14" w:type="dxa"/>
              <w:left w:w="40" w:type="dxa"/>
              <w:right w:w="40" w:type="dxa"/>
            </w:tcMar>
          </w:tcPr>
          <w:p>
            <w:pPr>
              <w:keepNext/>
              <w:spacing w:before="10" w:after="10" w:line="240" w:lineRule="auto"/>
              <w:jc w:val="center"/>
            </w:pPr>
            <w:r>
              <w:rPr>
                <w:rFonts w:ascii="Times New Roman" w:hAnsi="Times New Roman"/>
                <w:b/>
                <w:sz w:val="19"/>
              </w:rPr>
              <w:t>+0.964  (0.003)</w:t>
            </w:r>
          </w:p>
        </w:tc>
        <w:tc>
          <w:tcPr>
            <w:tcW w:type="dxa" w:w="2948"/>
            <w:vAlign w:val="center"/>
            <w:tcMar>
              <w:top w:w="14" w:type="dxa"/>
              <w:bottom w:w="14" w:type="dxa"/>
              <w:left w:w="40" w:type="dxa"/>
              <w:right w:w="40" w:type="dxa"/>
            </w:tcMar>
          </w:tcPr>
          <w:p>
            <w:pPr>
              <w:keepNext/>
              <w:spacing w:before="10" w:after="10" w:line="240" w:lineRule="auto"/>
              <w:jc w:val="left"/>
            </w:pPr>
            <w:r>
              <w:rPr>
                <w:rFonts w:ascii="Consolas" w:hAnsi="Consolas"/>
                <w:b w:val="0"/>
                <w:sz w:val="19"/>
              </w:rPr>
              <w:t>center_crop / pad</w:t>
            </w:r>
          </w:p>
        </w:tc>
        <w:tc>
          <w:tcPr>
            <w:tcW w:type="dxa" w:w="2381"/>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-0.286  (0.556)</w:t>
            </w:r>
          </w:p>
        </w:tc>
      </w:tr>
      <w:tr>
        <w:trPr>
          <w:cantSplit/>
        </w:trPr>
        <w:tc>
          <w:tcPr>
            <w:tcW w:type="dxa" w:w="2948"/>
            <w:vAlign w:val="center"/>
            <w:tcMar>
              <w:top w:w="14" w:type="dxa"/>
              <w:bottom w:w="14" w:type="dxa"/>
              <w:left w:w="40" w:type="dxa"/>
              <w:right w:w="40" w:type="dxa"/>
            </w:tcMar>
          </w:tcPr>
          <w:p>
            <w:pPr>
              <w:keepNext/>
              <w:spacing w:before="10" w:after="10" w:line="240" w:lineRule="auto"/>
              <w:jc w:val="left"/>
            </w:pPr>
            <w:r>
              <w:rPr>
                <w:rFonts w:ascii="Consolas" w:hAnsi="Consolas"/>
                <w:b w:val="0"/>
                <w:sz w:val="19"/>
              </w:rPr>
              <w:t>center_crop / rescale</w:t>
            </w:r>
          </w:p>
        </w:tc>
        <w:tc>
          <w:tcPr>
            <w:tcW w:type="dxa" w:w="192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+0.000  (1.000)</w:t>
            </w:r>
          </w:p>
        </w:tc>
        <w:tc>
          <w:tcPr>
            <w:tcW w:type="dxa" w:w="2948"/>
            <w:vAlign w:val="center"/>
            <w:tcMar>
              <w:top w:w="14" w:type="dxa"/>
              <w:bottom w:w="14" w:type="dxa"/>
              <w:left w:w="40" w:type="dxa"/>
              <w:right w:w="40" w:type="dxa"/>
            </w:tcMar>
          </w:tcPr>
          <w:p>
            <w:pPr>
              <w:keepNext/>
              <w:spacing w:before="10" w:after="10" w:line="240" w:lineRule="auto"/>
              <w:jc w:val="left"/>
            </w:pPr>
            <w:r>
              <w:rPr>
                <w:rFonts w:ascii="Consolas" w:hAnsi="Consolas"/>
                <w:b w:val="0"/>
                <w:sz w:val="19"/>
              </w:rPr>
              <w:t>random_crop / pad</w:t>
            </w:r>
          </w:p>
        </w:tc>
        <w:tc>
          <w:tcPr>
            <w:tcW w:type="dxa" w:w="2381"/>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-0.321  (0.498)</w:t>
            </w:r>
          </w:p>
        </w:tc>
      </w:tr>
      <w:tr>
        <w:trPr>
          <w:cantSplit/>
        </w:trPr>
        <w:tc>
          <w:tcPr>
            <w:tcW w:type="dxa" w:w="2948"/>
            <w:vAlign w:val="center"/>
            <w:tcMar>
              <w:top w:w="14" w:type="dxa"/>
              <w:bottom w:w="14" w:type="dxa"/>
              <w:left w:w="40" w:type="dxa"/>
              <w:right w:w="40" w:type="dxa"/>
            </w:tcMar>
          </w:tcPr>
          <w:p>
            <w:pPr>
              <w:keepNext/>
              <w:spacing w:before="10" w:after="10" w:line="240" w:lineRule="auto"/>
              <w:jc w:val="left"/>
            </w:pPr>
            <w:r>
              <w:rPr>
                <w:rFonts w:ascii="Consolas" w:hAnsi="Consolas"/>
                <w:b w:val="0"/>
                <w:sz w:val="19"/>
              </w:rPr>
              <w:t>random_crop / rescale</w:t>
            </w:r>
          </w:p>
        </w:tc>
        <w:tc>
          <w:tcPr>
            <w:tcW w:type="dxa" w:w="192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-0.179  (0.713)</w:t>
            </w:r>
          </w:p>
        </w:tc>
        <w:tc>
          <w:tcPr>
            <w:tcW w:type="dxa" w:w="2948"/>
            <w:vAlign w:val="center"/>
            <w:tcMar>
              <w:top w:w="14" w:type="dxa"/>
              <w:bottom w:w="14" w:type="dxa"/>
              <w:left w:w="40" w:type="dxa"/>
              <w:right w:w="40" w:type="dxa"/>
            </w:tcMar>
          </w:tcPr>
          <w:p>
            <w:pPr>
              <w:keepNext/>
              <w:spacing w:before="10" w:after="10" w:line="240" w:lineRule="auto"/>
              <w:jc w:val="left"/>
            </w:pPr>
            <w:r>
              <w:rPr>
                <w:rFonts w:ascii="Consolas" w:hAnsi="Consolas"/>
                <w:b w:val="0"/>
                <w:sz w:val="19"/>
              </w:rPr>
              <w:t>rescale / pad</w:t>
            </w:r>
          </w:p>
        </w:tc>
        <w:tc>
          <w:tcPr>
            <w:tcW w:type="dxa" w:w="2381"/>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+0.643  (0.139)</w:t>
            </w:r>
          </w:p>
        </w:tc>
      </w:tr>
    </w:tbl>
    <w:p>
      <w:pPr>
        <w:spacing w:before="20" w:after="80" w:line="240" w:lineRule="auto"/>
        <w:jc w:val="both"/>
      </w:pPr>
      <w:r>
        <w:rPr>
          <w:rFonts w:ascii="Times New Roman" w:hAnsi="Times New Roman"/>
          <w:b/>
          <w:sz w:val="20"/>
        </w:rPr>
        <w:t>Table 4.</w:t>
      </w:r>
      <w:r>
        <w:rPr>
          <w:rFonts w:ascii="Times New Roman" w:hAnsi="Times New Roman"/>
          <w:sz w:val="20"/>
        </w:rPr>
        <w:t xml:space="preserve"> Rank agreement between strategies. p-values are exact permutation p-values over all 5,040 orderings of seven generators, not a t-approximation. The only significant agreement is between the two non-resampling strategies.</w:t>
      </w:r>
    </w:p>
    <w:p>
      <w:pPr>
        <w:spacing w:before="0" w:after="44" w:line="240" w:lineRule="auto"/>
        <w:jc w:val="both"/>
      </w:pPr>
      <w:r>
        <w:rPr>
          <w:rFonts w:ascii="Times New Roman" w:hAnsi="Times New Roman"/>
          <w:b/>
          <w:i w:val="0"/>
          <w:sz w:val="24"/>
        </w:rPr>
        <w:t>The ranking does not survive the correction.</w:t>
      </w:r>
      <w:r>
        <w:rPr>
          <w:rFonts w:ascii="Times New Roman" w:hAnsi="Times New Roman"/>
          <w:b w:val="0"/>
          <w:i w:val="0"/>
          <w:sz w:val="24"/>
        </w:rPr>
        <w:t xml:space="preserve"> This is the main result, and Table 4 quantifies it. The two strategies that do </w:t>
      </w:r>
      <w:r>
        <w:rPr>
          <w:rFonts w:ascii="Times New Roman" w:hAnsi="Times New Roman"/>
          <w:b w:val="0"/>
          <w:i/>
          <w:sz w:val="24"/>
        </w:rPr>
        <w:t>not</w:t>
      </w:r>
      <w:r>
        <w:rPr>
          <w:rFonts w:ascii="Times New Roman" w:hAnsi="Times New Roman"/>
          <w:b w:val="0"/>
          <w:i w:val="0"/>
          <w:sz w:val="24"/>
        </w:rPr>
        <w:t xml:space="preserve"> resample, center_crop and random_crop, agree almost perfectly on which generators yield transferable detectors (ρ = +0.964, p = 0.003). That agreement is the anchor: it shows the ranking is a reproducible property of the data rather than seed noise. Measured against it, rescale produces a ranking that retains none of the same structure (ρ = 0.000), and the movement is not a mild reshuffle. </w:t>
      </w:r>
      <w:r>
        <w:rPr>
          <w:rFonts w:ascii="Times New Roman" w:hAnsi="Times New Roman"/>
          <w:b/>
          <w:i w:val="0"/>
          <w:sz w:val="24"/>
        </w:rPr>
        <w:t>ADM is the best source generator under both cropping strategies and the worst under rescaling</w:t>
      </w:r>
      <w:r>
        <w:rPr>
          <w:rFonts w:ascii="Times New Roman" w:hAnsi="Times New Roman"/>
          <w:b w:val="0"/>
          <w:i w:val="0"/>
          <w:sz w:val="24"/>
        </w:rPr>
        <w:t>, a first-to-last inversion across seven positions. Two papers using the same data, architecture and protocol would disagree about which generator is hardest, purely because one rescaled and the other cropped. Ranked by target generator instead, the same comparison gives ρ = +0.286; we report the source axis because the claim concerns which training generator yields a transferable detector.</w:t>
      </w:r>
    </w:p>
    <w:p>
      <w:pPr>
        <w:spacing w:before="0" w:after="44" w:line="240" w:lineRule="auto"/>
        <w:jc w:val="both"/>
      </w:pPr>
      <w:r>
        <w:rPr>
          <w:rFonts w:ascii="Times New Roman" w:hAnsi="Times New Roman"/>
          <w:b w:val="0"/>
          <w:i w:val="0"/>
          <w:sz w:val="24"/>
        </w:rPr>
        <w:t xml:space="preserve">We are deliberately careful about what ρ = 0.000 supports. At n = 7 the exact permutation p-value is 1.000, which is </w:t>
      </w:r>
      <w:r>
        <w:rPr>
          <w:rFonts w:ascii="Times New Roman" w:hAnsi="Times New Roman"/>
          <w:b w:val="0"/>
          <w:i/>
          <w:sz w:val="24"/>
        </w:rPr>
        <w:t>absence of evidence for an association, not evidence of independence</w:t>
      </w:r>
      <w:r>
        <w:rPr>
          <w:rFonts w:ascii="Times New Roman" w:hAnsi="Times New Roman"/>
          <w:b w:val="0"/>
          <w:i w:val="0"/>
          <w:sz w:val="24"/>
        </w:rPr>
        <w:t>. The claim rests instead on the positive finding, the +0.964 agreement between the two non-resampling arms, together with the size of the movement. Per-cell disagreement between seeds averages 0.012 to 0.024 and never exceeds 0.076, so a seven-position inversion sits far outside seed noise.</w:t>
      </w:r>
    </w:p>
    <w:p>
      <w:pPr>
        <w:spacing w:before="0" w:after="44" w:line="240" w:lineRule="auto"/>
        <w:jc w:val="both"/>
      </w:pPr>
      <w:r>
        <w:rPr>
          <w:rFonts w:ascii="Times New Roman" w:hAnsi="Times New Roman"/>
          <w:b/>
          <w:i w:val="0"/>
          <w:sz w:val="24"/>
        </w:rPr>
        <w:t>pad does not remove the confound; it re-encodes it.</w:t>
      </w:r>
      <w:r>
        <w:rPr>
          <w:rFonts w:ascii="Times New Roman" w:hAnsi="Times New Roman"/>
          <w:b w:val="0"/>
          <w:i w:val="0"/>
          <w:sz w:val="24"/>
        </w:rPr>
        <w:t xml:space="preserve"> Table 3 shows pad with by far the best transfer (</w:t>
      </w:r>
      <w:r>
        <w:rPr>
          <w:rFonts w:ascii="Times New Roman" w:hAnsi="Times New Roman"/>
          <w:b/>
          <w:i w:val="0"/>
          <w:sz w:val="24"/>
        </w:rPr>
        <w:t>0.828</w:t>
      </w:r>
      <w:r>
        <w:rPr>
          <w:rFonts w:ascii="Times New Roman" w:hAnsi="Times New Roman"/>
          <w:b w:val="0"/>
          <w:i w:val="0"/>
          <w:sz w:val="24"/>
        </w:rPr>
        <w:t xml:space="preserve">), and reporting that as the best correction would be the central mistake this project exists to catch. Because every generator is square and only real photographs have variable aspect ratio, padding adds a black border to real images and to nothing else, so </w:t>
      </w:r>
      <w:r>
        <w:rPr>
          <w:rFonts w:ascii="Times New Roman" w:hAnsi="Times New Roman"/>
          <w:b/>
          <w:i w:val="0"/>
          <w:sz w:val="24"/>
        </w:rPr>
        <w:t>the border is a perfect proxy for the real class</w:t>
      </w:r>
      <w:r>
        <w:rPr>
          <w:rFonts w:ascii="Times New Roman" w:hAnsi="Times New Roman"/>
          <w:b w:val="0"/>
          <w:i w:val="0"/>
          <w:sz w:val="24"/>
        </w:rPr>
        <w:t xml:space="preserve">. A detector reading only the border would ceiling at (1.000 + 0.954)/2 = 0.977, and pad's measured diagonal is 0.978. Two observations agree. Transfer between generators sharing a native resolution exceeds transfer between those that do not by +0.113, +0.113 and +0.135 for the other three strategies, but by only </w:t>
      </w:r>
      <w:r>
        <w:rPr>
          <w:rFonts w:ascii="Times New Roman" w:hAnsi="Times New Roman"/>
          <w:b/>
          <w:i w:val="0"/>
          <w:sz w:val="24"/>
        </w:rPr>
        <w:t>+0.007</w:t>
      </w:r>
      <w:r>
        <w:rPr>
          <w:rFonts w:ascii="Times New Roman" w:hAnsi="Times New Roman"/>
          <w:b w:val="0"/>
          <w:i w:val="0"/>
          <w:sz w:val="24"/>
        </w:rPr>
        <w:t xml:space="preserve"> for pad, whose transfer is therefore indifferent to generator similarity, exactly as a border-reader would be. Pad also converges fastest, at a mean best epoch of 26.6 against 32.6 to 33.6. Higher accuracy here marks a worse experiment, not a better detector.</w:t>
      </w:r>
    </w:p>
    <w:p>
      <w:pPr>
        <w:spacing w:before="120" w:after="40" w:line="240" w:lineRule="auto"/>
        <w:jc w:val="left"/>
      </w:pPr>
      <w:r>
        <w:rPr>
          <w:rFonts w:ascii="Times New Roman" w:hAnsi="Times New Roman"/>
          <w:b/>
          <w:i w:val="0"/>
          <w:color w:val="1F3F6E"/>
          <w:sz w:val="26"/>
        </w:rPr>
        <w:t>6  Analysis</w:t>
      </w:r>
    </w:p>
    <w:p>
      <w:pPr>
        <w:spacing w:before="0" w:after="44" w:line="240" w:lineRule="auto"/>
        <w:jc w:val="both"/>
      </w:pPr>
      <w:r>
        <w:rPr>
          <w:rFonts w:ascii="Times New Roman" w:hAnsi="Times New Roman"/>
          <w:b/>
          <w:i w:val="0"/>
          <w:sz w:val="24"/>
        </w:rPr>
        <w:t>Is the weak transfer simply an undertrained small CNN?</w:t>
      </w:r>
      <w:r>
        <w:rPr>
          <w:rFonts w:ascii="Times New Roman" w:hAnsi="Times New Roman"/>
          <w:b w:val="0"/>
          <w:i w:val="0"/>
          <w:sz w:val="24"/>
        </w:rPr>
        <w:t xml:space="preserve"> No. Scoring each saved checkpoint on its own training set separates the three regimes (Table 5) and rules out a capacity explanation.</w:t>
      </w:r>
    </w:p>
    <w:tbl>
      <w:tblPr>
        <w:tblStyle w:val="TableGrid"/>
        <w:tblW w:type="auto" w:w="0"/>
        <w:tblLayout w:type="fixed"/>
        <w:tblLook w:firstColumn="1" w:firstRow="1" w:lastColumn="0" w:lastRow="0" w:noHBand="0" w:noVBand="1" w:val="04A0"/>
      </w:tblPr>
      <w:tblGrid>
        <w:gridCol w:w="2551"/>
        <w:gridCol w:w="2551"/>
        <w:gridCol w:w="2551"/>
        <w:gridCol w:w="2551"/>
      </w:tblGrid>
      <w:tr>
        <w:trPr>
          <w:cantSplit/>
        </w:trPr>
        <w:tc>
          <w:tcPr>
            <w:tcW w:type="dxa" w:w="3061"/>
            <w:vAlign w:val="center"/>
            <w:tcMar>
              <w:top w:w="14" w:type="dxa"/>
              <w:bottom w:w="14" w:type="dxa"/>
              <w:left w:w="40" w:type="dxa"/>
              <w:right w:w="40" w:type="dxa"/>
            </w:tcMar>
            <w:shd w:val="clear" w:fill="E8EDF5"/>
          </w:tcPr>
          <w:p>
            <w:pPr>
              <w:keepNext/>
              <w:spacing w:before="10" w:after="10" w:line="240" w:lineRule="auto"/>
              <w:jc w:val="left"/>
            </w:pPr>
            <w:r>
              <w:rPr>
                <w:rFonts w:ascii="Times New Roman" w:hAnsi="Times New Roman"/>
                <w:b/>
                <w:sz w:val="19"/>
              </w:rPr>
            </w:r>
          </w:p>
        </w:tc>
        <w:tc>
          <w:tcPr>
            <w:tcW w:type="dxa" w:w="2268"/>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Train</w:t>
            </w:r>
          </w:p>
        </w:tc>
        <w:tc>
          <w:tcPr>
            <w:tcW w:type="dxa" w:w="2268"/>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In-domain test</w:t>
            </w:r>
          </w:p>
        </w:tc>
        <w:tc>
          <w:tcPr>
            <w:tcW w:type="dxa" w:w="2608"/>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Cross-generator</w:t>
            </w:r>
          </w:p>
        </w:tc>
      </w:tr>
      <w:tr>
        <w:trPr>
          <w:cantSplit/>
        </w:trPr>
        <w:tc>
          <w:tcPr>
            <w:tcW w:type="dxa" w:w="3061"/>
            <w:vAlign w:val="center"/>
            <w:tcMar>
              <w:top w:w="14" w:type="dxa"/>
              <w:bottom w:w="14" w:type="dxa"/>
              <w:left w:w="40" w:type="dxa"/>
              <w:right w:w="40" w:type="dxa"/>
            </w:tcMar>
          </w:tcPr>
          <w:p>
            <w:pPr>
              <w:keepNext/>
              <w:spacing w:before="10" w:after="10" w:line="240" w:lineRule="auto"/>
              <w:jc w:val="left"/>
            </w:pPr>
            <w:r>
              <w:rPr>
                <w:rFonts w:ascii="Consolas" w:hAnsi="Consolas"/>
                <w:b w:val="0"/>
                <w:sz w:val="19"/>
              </w:rPr>
              <w:t>center_crop</w:t>
            </w:r>
          </w:p>
        </w:tc>
        <w:tc>
          <w:tcPr>
            <w:tcW w:type="dxa" w:w="226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0.967</w:t>
            </w:r>
          </w:p>
        </w:tc>
        <w:tc>
          <w:tcPr>
            <w:tcW w:type="dxa" w:w="226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0.908</w:t>
            </w:r>
          </w:p>
        </w:tc>
        <w:tc>
          <w:tcPr>
            <w:tcW w:type="dxa" w:w="2608"/>
            <w:vAlign w:val="center"/>
            <w:tcMar>
              <w:top w:w="14" w:type="dxa"/>
              <w:bottom w:w="14" w:type="dxa"/>
              <w:left w:w="40" w:type="dxa"/>
              <w:right w:w="40" w:type="dxa"/>
            </w:tcMar>
          </w:tcPr>
          <w:p>
            <w:pPr>
              <w:keepNext/>
              <w:spacing w:before="10" w:after="10" w:line="240" w:lineRule="auto"/>
              <w:jc w:val="center"/>
            </w:pPr>
            <w:r>
              <w:rPr>
                <w:rFonts w:ascii="Times New Roman" w:hAnsi="Times New Roman"/>
                <w:b/>
                <w:sz w:val="19"/>
              </w:rPr>
              <w:t>0.655</w:t>
            </w:r>
          </w:p>
        </w:tc>
      </w:tr>
      <w:tr>
        <w:trPr>
          <w:cantSplit/>
        </w:trPr>
        <w:tc>
          <w:tcPr>
            <w:tcW w:type="dxa" w:w="3061"/>
            <w:vAlign w:val="center"/>
            <w:tcMar>
              <w:top w:w="14" w:type="dxa"/>
              <w:bottom w:w="14" w:type="dxa"/>
              <w:left w:w="40" w:type="dxa"/>
              <w:right w:w="40" w:type="dxa"/>
            </w:tcMar>
          </w:tcPr>
          <w:p>
            <w:pPr>
              <w:keepNext/>
              <w:spacing w:before="10" w:after="10" w:line="240" w:lineRule="auto"/>
              <w:jc w:val="left"/>
            </w:pPr>
            <w:r>
              <w:rPr>
                <w:rFonts w:ascii="Consolas" w:hAnsi="Consolas"/>
                <w:b w:val="0"/>
                <w:sz w:val="19"/>
              </w:rPr>
              <w:t>rescale</w:t>
            </w:r>
          </w:p>
        </w:tc>
        <w:tc>
          <w:tcPr>
            <w:tcW w:type="dxa" w:w="226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0.982</w:t>
            </w:r>
          </w:p>
        </w:tc>
        <w:tc>
          <w:tcPr>
            <w:tcW w:type="dxa" w:w="226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0.902</w:t>
            </w:r>
          </w:p>
        </w:tc>
        <w:tc>
          <w:tcPr>
            <w:tcW w:type="dxa" w:w="2608"/>
            <w:vAlign w:val="center"/>
            <w:tcMar>
              <w:top w:w="14" w:type="dxa"/>
              <w:bottom w:w="14" w:type="dxa"/>
              <w:left w:w="40" w:type="dxa"/>
              <w:right w:w="40" w:type="dxa"/>
            </w:tcMar>
          </w:tcPr>
          <w:p>
            <w:pPr>
              <w:keepNext/>
              <w:spacing w:before="10" w:after="10" w:line="240" w:lineRule="auto"/>
              <w:jc w:val="center"/>
            </w:pPr>
            <w:r>
              <w:rPr>
                <w:rFonts w:ascii="Times New Roman" w:hAnsi="Times New Roman"/>
                <w:b/>
                <w:sz w:val="19"/>
              </w:rPr>
              <w:t>0.563</w:t>
            </w:r>
          </w:p>
        </w:tc>
      </w:tr>
    </w:tbl>
    <w:p>
      <w:pPr>
        <w:spacing w:before="20" w:after="80" w:line="240" w:lineRule="auto"/>
        <w:jc w:val="both"/>
      </w:pPr>
      <w:r>
        <w:rPr>
          <w:rFonts w:ascii="Times New Roman" w:hAnsi="Times New Roman"/>
          <w:b/>
          <w:sz w:val="20"/>
        </w:rPr>
        <w:t>Table 5.</w:t>
      </w:r>
      <w:r>
        <w:rPr>
          <w:rFonts w:ascii="Times New Roman" w:hAnsi="Times New Roman"/>
          <w:sz w:val="20"/>
        </w:rPr>
        <w:t xml:space="preserve"> Three-level decomposition for the two arms that differ only by resampling, over 14 runs each. Read left to right: rescale fits its training set better than center_crop, matches it on held-out images of the same generator, and only then collapses when the generator changes. The damage done by resampling is invisible until the last column. Train accuracy is recomputed from the saved checkpoints rather than logged during training; as a guard, the recomputed internal validation accuracy reproduced the value recorded at training time exactly in all 28 runs. The middle column is the held-out test diagonal of Table 3, not the internal validation set that selected the checkpoint.</w:t>
      </w:r>
    </w:p>
    <w:p>
      <w:pPr>
        <w:spacing w:before="0" w:after="44" w:line="240" w:lineRule="auto"/>
        <w:jc w:val="both"/>
      </w:pPr>
      <w:r>
        <w:rPr>
          <w:rFonts w:ascii="Times New Roman" w:hAnsi="Times New Roman"/>
          <w:b w:val="0"/>
          <w:i w:val="0"/>
          <w:sz w:val="24"/>
        </w:rPr>
        <w:t xml:space="preserve">At 96.7% to 98.2% training accuracy the network is close to memorizing its 3,600 images, so the modest in-domain accuracy is a variance limit rather than a bias limit. We did not run a width sweep, so the epoch-budget control below is our only capacity-adjacent evidence, but it rules out an undertrained network as the explanation for the low diagonal. The decomposition also sharpens the headline: </w:t>
      </w:r>
      <w:r>
        <w:rPr>
          <w:rFonts w:ascii="Times New Roman" w:hAnsi="Times New Roman"/>
          <w:b/>
          <w:i w:val="0"/>
          <w:sz w:val="24"/>
        </w:rPr>
        <w:t>resampling does no measurable in-distribution damage</w:t>
      </w:r>
      <w:r>
        <w:rPr>
          <w:rFonts w:ascii="Times New Roman" w:hAnsi="Times New Roman"/>
          <w:b w:val="0"/>
          <w:i w:val="0"/>
          <w:sz w:val="24"/>
        </w:rPr>
        <w:t>. The two arms separate by 0.092 only in the cross-generator column. A practitioner validating in-distribution would see no reason for concern. The per-generator spread is uneven: Midjourney under rescale carries the widest train/val gap anywhere (0.152 and 0.159 across the two seeds), while ADM under rescale has essentially none. An epoch-budget control agrees: doubling training from 40 to 80 epochs on three generators raised in-domain accuracy by 0.020 while cross-generator accuracy moved by −0.007. More training buys in-distribution fit and nothing in transfer.</w:t>
      </w:r>
    </w:p>
    <w:p>
      <w:pPr>
        <w:spacing w:before="0" w:after="44" w:line="240" w:lineRule="auto"/>
        <w:jc w:val="both"/>
      </w:pPr>
      <w:r>
        <w:rPr>
          <w:rFonts w:ascii="Times New Roman" w:hAnsi="Times New Roman"/>
          <w:b/>
          <w:i w:val="0"/>
          <w:sz w:val="24"/>
        </w:rPr>
        <w:t>Can the two arms be combined?</w:t>
      </w:r>
      <w:r>
        <w:rPr>
          <w:rFonts w:ascii="Times New Roman" w:hAnsi="Times New Roman"/>
          <w:b w:val="0"/>
          <w:i w:val="0"/>
          <w:sz w:val="24"/>
        </w:rPr>
        <w:t xml:space="preserve"> A natural response to two strategies that disagree is to average them. We dumped raw test logits for center_crop and rescale and combined them off-GPU, so the ensemble is scored on the same test pool as its members. It fails, and the failure is informative. Averaging the arms raises in-domain accuracy from 0.908 to 0.952 but lowers cross-generator accuracy from 0.655 to </w:t>
      </w:r>
      <w:r>
        <w:rPr>
          <w:rFonts w:ascii="Times New Roman" w:hAnsi="Times New Roman"/>
          <w:b/>
          <w:i w:val="0"/>
          <w:sz w:val="24"/>
        </w:rPr>
        <w:t>0.591</w:t>
      </w:r>
      <w:r>
        <w:rPr>
          <w:rFonts w:ascii="Times New Roman" w:hAnsi="Times New Roman"/>
          <w:b w:val="0"/>
          <w:i w:val="0"/>
          <w:sz w:val="24"/>
        </w:rPr>
        <w:t>. The mechanism shows in the error rates: the true-negative rate rises from 0.898 to 0.957 while the off-diagonal true-positive rate falls from 0.411 to 0.226. The ensemble does not learn a better fingerprint, it simply becomes more willing to answer “real”. The two seeds agree to 0.0009 on the ensemble's off-diagonal accuracy, so the 0.063 loss sits far outside noise. Whatever center_crop and rescale each capture, it is not two views of one signal that averaging can sharpen.</w:t>
      </w:r>
    </w:p>
    <w:p>
      <w:pPr>
        <w:spacing w:before="0" w:after="44" w:line="240" w:lineRule="auto"/>
        <w:jc w:val="both"/>
      </w:pPr>
      <w:r>
        <w:rPr>
          <w:rFonts w:ascii="Times New Roman" w:hAnsi="Times New Roman"/>
          <w:b/>
          <w:i w:val="0"/>
          <w:sz w:val="24"/>
        </w:rPr>
        <w:t>An open observation.</w:t>
      </w:r>
      <w:r>
        <w:rPr>
          <w:rFonts w:ascii="Times New Roman" w:hAnsi="Times New Roman"/>
          <w:b w:val="0"/>
          <w:i w:val="0"/>
          <w:sz w:val="24"/>
        </w:rPr>
        <w:t xml:space="preserve"> ADM behaves inconsistently across strategies in a way we can measure but cannot yet explain. Under center_crop it is the hardest generator in the study (in-domain 0.863); under rescale it is nearly trivial (0.986) while its transfer falls to chance (0.501, the lowest row mean anywhere). ADM is also the only PNG generator in an otherwise JPEG dataset, but that asymmetry predicts ADM should be </w:t>
      </w:r>
      <w:r>
        <w:rPr>
          <w:rFonts w:ascii="Times New Roman" w:hAnsi="Times New Roman"/>
          <w:b w:val="0"/>
          <w:i/>
          <w:sz w:val="24"/>
        </w:rPr>
        <w:t>easiest</w:t>
      </w:r>
      <w:r>
        <w:rPr>
          <w:rFonts w:ascii="Times New Roman" w:hAnsi="Times New Roman"/>
          <w:b w:val="0"/>
          <w:i w:val="0"/>
          <w:sz w:val="24"/>
        </w:rPr>
        <w:t xml:space="preserve"> under center_crop, where native pixels and real-image JPEG blocking both survive, and we observe the opposite. Since ADM's row feeds directly into the ranking, we report this as an unresolved observation rather than offer a mechanism we have not tested.</w:t>
      </w:r>
    </w:p>
    <w:p>
      <w:pPr>
        <w:spacing w:before="0" w:after="44" w:line="240" w:lineRule="auto"/>
        <w:jc w:val="both"/>
      </w:pPr>
      <w:r>
        <w:rPr>
          <w:rFonts w:ascii="Times New Roman" w:hAnsi="Times New Roman"/>
          <w:b/>
          <w:i w:val="0"/>
          <w:sz w:val="24"/>
        </w:rPr>
        <w:t>Cue-level evidence, not obtained.</w:t>
      </w:r>
      <w:r>
        <w:rPr>
          <w:rFonts w:ascii="Times New Roman" w:hAnsi="Times New Roman"/>
          <w:b w:val="0"/>
          <w:i w:val="0"/>
          <w:sz w:val="24"/>
        </w:rPr>
        <w:t xml:space="preserve"> The proposal also committed to input-gradient attribution and radially averaged spectra, to test directly whether the cues shift between strategies, and in particular whether the pad model's saliency concentrates in the outer 16-pixel ring. Both are implemented in src/analyze.py, and neither was run: with the compute budget spent on the 56-run matrix and its controls, we closed the epoch-budget and ensemble checks instead. We state this openly because it is a promised analysis. Its absence is bounded rather than fatal: the border account of pad in §5 rests on three independent behavioral observations, the 0.977 ceiling, the +0.007 resolution-similarity contrast and the faster convergence, rather than on the model's internals.</w:t>
      </w:r>
    </w:p>
    <w:p>
      <w:pPr>
        <w:spacing w:before="120" w:after="40" w:line="240" w:lineRule="auto"/>
        <w:jc w:val="left"/>
      </w:pPr>
      <w:r>
        <w:rPr>
          <w:rFonts w:ascii="Times New Roman" w:hAnsi="Times New Roman"/>
          <w:b/>
          <w:i w:val="0"/>
          <w:color w:val="1F3F6E"/>
          <w:sz w:val="26"/>
        </w:rPr>
        <w:t>7  Discussion: insights, limitations and future directions</w:t>
      </w:r>
    </w:p>
    <w:p>
      <w:pPr>
        <w:spacing w:before="0" w:after="44" w:line="240" w:lineRule="auto"/>
        <w:jc w:val="both"/>
      </w:pPr>
      <w:r>
        <w:rPr>
          <w:rFonts w:ascii="Times New Roman" w:hAnsi="Times New Roman"/>
          <w:b/>
          <w:i w:val="0"/>
          <w:sz w:val="24"/>
        </w:rPr>
        <w:t>Insights.</w:t>
      </w:r>
      <w:r>
        <w:rPr>
          <w:rFonts w:ascii="Times New Roman" w:hAnsi="Times New Roman"/>
          <w:b w:val="0"/>
          <w:i w:val="0"/>
          <w:sz w:val="24"/>
        </w:rPr>
        <w:t xml:space="preserve"> Three findings survive our controls. First, a zero-parameter size rule transfers better than all four trained detectors, so cross-generator numbers reported without an explicit size correction are largely uninterpretable. Second, the correction is not a neutral preprocessing detail: strategies preserving native pixels agree on generator difficulty (ρ = +0.964) while resampling gives an unrelated ordering, so a published ranking depends partly on a choice that is rarely reported. Third, a correction can raise accuracy while making the experiment worse, as pad does by trading the size cue for a border cue. Cross-generator work should therefore treat size equalization as a first-class methodological choice and report more than one.</w:t>
      </w:r>
    </w:p>
    <w:p>
      <w:pPr>
        <w:spacing w:before="0" w:after="44" w:line="240" w:lineRule="auto"/>
        <w:jc w:val="both"/>
      </w:pPr>
      <w:r>
        <w:rPr>
          <w:rFonts w:ascii="Times New Roman" w:hAnsi="Times New Roman"/>
          <w:b/>
          <w:i w:val="0"/>
          <w:sz w:val="24"/>
        </w:rPr>
        <w:t>Limitations.</w:t>
      </w:r>
      <w:r>
        <w:rPr>
          <w:rFonts w:ascii="Times New Roman" w:hAnsi="Times New Roman"/>
          <w:b w:val="0"/>
          <w:i w:val="0"/>
          <w:sz w:val="24"/>
        </w:rPr>
        <w:t xml:space="preserve"> We test one architecture at one input resolution; a larger or pretrained backbone might rank generators differently, though pretraining is unavailable here because the real class is ImageNet. Two seeds per cell place the inversion outside noise but do not give tight per-cell intervals. The rank correlations rest on n = 7 generators, the width of the benchmark rather than a design choice. We use a 35,000-image subset rather than full GenImage. Finally, the cue-level analyses are outstanding and the ADM anomaly is unexplained.</w:t>
      </w:r>
    </w:p>
    <w:p>
      <w:pPr>
        <w:spacing w:before="0" w:after="44" w:line="240" w:lineRule="auto"/>
        <w:jc w:val="both"/>
      </w:pPr>
      <w:r>
        <w:rPr>
          <w:rFonts w:ascii="Times New Roman" w:hAnsi="Times New Roman"/>
          <w:b/>
          <w:i w:val="0"/>
          <w:sz w:val="24"/>
        </w:rPr>
        <w:t>Future directions.</w:t>
      </w:r>
      <w:r>
        <w:rPr>
          <w:rFonts w:ascii="Times New Roman" w:hAnsi="Times New Roman"/>
          <w:b w:val="0"/>
          <w:i w:val="0"/>
          <w:sz w:val="24"/>
        </w:rPr>
        <w:t xml:space="preserve"> The immediate next step is the attribution and spectral analysis named in §6, which would turn the pad argument from inference into direct evidence. Re-encoding ADM as JPEG and re-running its row would separate format from resolution, and repeating the comparison on full GenImage with a ResNet50 would test whether the reordering persists at the scale used in the literature.</w:t>
      </w:r>
    </w:p>
    <w:p>
      <w:pPr>
        <w:spacing w:before="120" w:after="40" w:line="240" w:lineRule="auto"/>
        <w:jc w:val="left"/>
      </w:pPr>
      <w:r>
        <w:rPr>
          <w:rFonts w:ascii="Times New Roman" w:hAnsi="Times New Roman"/>
          <w:b/>
          <w:i w:val="0"/>
          <w:color w:val="1F3F6E"/>
          <w:sz w:val="26"/>
        </w:rPr>
        <w:t>8  References</w:t>
      </w:r>
    </w:p>
    <w:p>
      <w:pPr>
        <w:spacing w:before="0" w:after="20" w:line="240" w:lineRule="auto"/>
        <w:jc w:val="both"/>
      </w:pPr>
      <w:r>
        <w:rPr>
          <w:rFonts w:ascii="Times New Roman" w:hAnsi="Times New Roman"/>
          <w:b w:val="0"/>
          <w:i w:val="0"/>
          <w:sz w:val="21"/>
        </w:rPr>
        <w:t>[1]  S.-Y. Wang, O. Wang, R. Zhang, A. Owens and A. A. Efros. CNN-generated images are surprisingly easy to spot... for now. CVPR 2020. arXiv:1912.11035.</w:t>
      </w:r>
    </w:p>
    <w:p>
      <w:pPr>
        <w:spacing w:before="0" w:after="20" w:line="240" w:lineRule="auto"/>
        <w:jc w:val="both"/>
      </w:pPr>
      <w:r>
        <w:rPr>
          <w:rFonts w:ascii="Times New Roman" w:hAnsi="Times New Roman"/>
          <w:b w:val="0"/>
          <w:i w:val="0"/>
          <w:sz w:val="21"/>
        </w:rPr>
        <w:t>[2]  M. Zhu, H. Chen, Q. Yan, X. Huang, G. Lin, W. Li, Z. Tu, H. Hu, J. Hu and Y. Wang. GenImage: A Million-Scale Benchmark for Detecting AI-Generated Image. NeurIPS 2023, Datasets and Benchmarks Track. arXiv:2306.08571.</w:t>
      </w:r>
    </w:p>
    <w:p>
      <w:pPr>
        <w:spacing w:before="0" w:after="20" w:line="240" w:lineRule="auto"/>
        <w:jc w:val="both"/>
      </w:pPr>
      <w:r>
        <w:rPr>
          <w:rFonts w:ascii="Times New Roman" w:hAnsi="Times New Roman"/>
          <w:b w:val="0"/>
          <w:i w:val="0"/>
          <w:sz w:val="21"/>
        </w:rPr>
        <w:t>[3]  P. Grommelt, L. Weiss, F.-J. Pfreundt and J. Keuper. Fake or JPEG? Revealing Common Biases in Generated Image Detection Datasets. 2024. arXiv:2403.17608.</w:t>
      </w:r>
    </w:p>
    <w:p>
      <w:pPr>
        <w:spacing w:before="0" w:after="20" w:line="240" w:lineRule="auto"/>
        <w:jc w:val="both"/>
      </w:pPr>
      <w:r>
        <w:rPr>
          <w:rFonts w:ascii="Times New Roman" w:hAnsi="Times New Roman"/>
          <w:b w:val="0"/>
          <w:i w:val="0"/>
          <w:sz w:val="21"/>
        </w:rPr>
        <w:t>[4]  Tiny-GenImage dataset. Hugging Face, TheKernel01/Tiny-GenImage. License CC BY-NC-SA 4.0.</w:t>
      </w:r>
    </w:p>
    <w:p>
      <w:pPr>
        <w:spacing w:before="120" w:after="40" w:line="240" w:lineRule="auto"/>
        <w:jc w:val="left"/>
      </w:pPr>
      <w:r>
        <w:rPr>
          <w:rFonts w:ascii="Times New Roman" w:hAnsi="Times New Roman"/>
          <w:b/>
          <w:i w:val="0"/>
          <w:color w:val="1F3F6E"/>
          <w:sz w:val="26"/>
        </w:rPr>
        <w:t>9  Contribution of each team member</w:t>
      </w:r>
    </w:p>
    <w:tbl>
      <w:tblPr>
        <w:tblStyle w:val="TableGrid"/>
        <w:tblW w:type="auto" w:w="0"/>
        <w:tblLayout w:type="fixed"/>
        <w:tblLook w:firstColumn="1" w:firstRow="1" w:lastColumn="0" w:lastRow="0" w:noHBand="0" w:noVBand="1" w:val="04A0"/>
      </w:tblPr>
      <w:tblGrid>
        <w:gridCol w:w="5103"/>
        <w:gridCol w:w="5103"/>
      </w:tblGrid>
      <w:tr>
        <w:trPr>
          <w:cantSplit/>
        </w:trPr>
        <w:tc>
          <w:tcPr>
            <w:tcW w:type="dxa" w:w="5102"/>
            <w:vAlign w:val="center"/>
            <w:tcMar>
              <w:top w:w="14" w:type="dxa"/>
              <w:bottom w:w="14" w:type="dxa"/>
              <w:left w:w="40" w:type="dxa"/>
              <w:right w:w="40" w:type="dxa"/>
            </w:tcMar>
            <w:shd w:val="clear" w:fill="E8EDF5"/>
          </w:tcPr>
          <w:p>
            <w:pPr>
              <w:keepNext/>
              <w:spacing w:before="10" w:after="10" w:line="240" w:lineRule="auto"/>
              <w:jc w:val="left"/>
            </w:pPr>
            <w:r>
              <w:rPr>
                <w:rFonts w:ascii="Times New Roman" w:hAnsi="Times New Roman"/>
                <w:b/>
                <w:sz w:val="19"/>
              </w:rPr>
              <w:t>Ido Josephsberg</w:t>
            </w:r>
          </w:p>
        </w:tc>
        <w:tc>
          <w:tcPr>
            <w:tcW w:type="dxa" w:w="5102"/>
            <w:vAlign w:val="center"/>
            <w:tcMar>
              <w:top w:w="14" w:type="dxa"/>
              <w:bottom w:w="14" w:type="dxa"/>
              <w:left w:w="40" w:type="dxa"/>
              <w:right w:w="40" w:type="dxa"/>
            </w:tcMar>
            <w:shd w:val="clear" w:fill="E8EDF5"/>
          </w:tcPr>
          <w:p>
            <w:pPr>
              <w:keepNext/>
              <w:spacing w:before="10" w:after="10" w:line="240" w:lineRule="auto"/>
              <w:jc w:val="left"/>
            </w:pPr>
            <w:r>
              <w:rPr>
                <w:rFonts w:ascii="Times New Roman" w:hAnsi="Times New Roman"/>
                <w:b/>
                <w:sz w:val="19"/>
              </w:rPr>
              <w:t>Noa Keter</w:t>
            </w:r>
          </w:p>
        </w:tc>
      </w:tr>
      <w:tr>
        <w:trPr>
          <w:cantSplit/>
        </w:trPr>
        <w:tc>
          <w:tcPr>
            <w:tcW w:type="dxa" w:w="5102"/>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Data pipeline and cache build (data.py); training loop and checkpointing (train.py); 28 of the 56 runs (center_crop, rescale); train/validation diagnostic (trainval.py); transfer-matrix and ranking analysis (analyze.py); the ensemble ablation (ensemble.py, logits.py); run notebooks; README. Report: motivation, models and hyperparameters, results.</w:t>
            </w:r>
          </w:p>
        </w:tc>
        <w:tc>
          <w:tcPr>
            <w:tcW w:type="dxa" w:w="5102"/>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Model architecture (model.py); the two zero-parameter baselines (baseline.py); 28 of the 56 runs (pad, random_crop); the cue-level analyses in analyze.py, attribution and spectra (implemented, not run, see §6); publication-scale figures; project presentation. Report: related work, data, analysis, discussion, references and assembly.</w:t>
            </w:r>
          </w:p>
        </w:tc>
      </w:tr>
    </w:tbl>
    <w:p>
      <w:pPr>
        <w:spacing w:before="0" w:after="0" w:line="240" w:lineRule="auto"/>
        <w:jc w:val="both"/>
      </w:pPr>
      <w:r>
        <w:rPr>
          <w:rFonts w:ascii="Times New Roman" w:hAnsi="Times New Roman"/>
          <w:b/>
          <w:i w:val="0"/>
          <w:sz w:val="24"/>
        </w:rPr>
        <w:t>Code and reproducibility.</w:t>
      </w:r>
      <w:r>
        <w:rPr>
          <w:rFonts w:ascii="Times New Roman" w:hAnsi="Times New Roman"/>
          <w:b w:val="0"/>
          <w:i w:val="0"/>
          <w:sz w:val="24"/>
        </w:rPr>
        <w:t xml:space="preserve"> All code, the exact run commands, the split definitions and every metrics.json produced by the 56 runs are in the public repository at </w:t>
      </w:r>
      <w:r>
        <w:rPr>
          <w:rFonts w:ascii="Consolas" w:hAnsi="Consolas"/>
          <w:b w:val="0"/>
          <w:i w:val="0"/>
          <w:color w:val="1F3F6E"/>
          <w:sz w:val="23"/>
        </w:rPr>
        <w:t>https://github.com/noa-keter/deep-learning</w:t>
      </w:r>
      <w:r>
        <w:rPr>
          <w:rFonts w:ascii="Times New Roman" w:hAnsi="Times New Roman"/>
          <w:b w:val="0"/>
          <w:i w:val="0"/>
          <w:sz w:val="24"/>
        </w:rPr>
        <w:t>. The cache build is deterministic and seeds are fixed, so each reported cell reproduces from a clean clone. The README gives the exact commands.</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4" w:line="240" w:lineRule="auto"/>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