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10"/>
        <w:tblGridChange w:id="0">
          <w:tblGrid>
            <w:gridCol w:w="2220"/>
            <w:gridCol w:w="6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Categorie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Inhoud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E-mails van klanten/makelaars met wijzigingsaanvragen• Bijlagen (documenten, PDF’s, identificatie, formulieren)• Polisinformatie uit het kernsysteem• Historiek van vorige wijzigingen• Interne richtlijnen voor classificatie• Toegang tot mailbox en task distribution system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 Manueel aangemaakte taak in het task distribution system• Manuele toewijzing van taak aan een beheerder• Correct of foutief geclassificeerde taak• Interne notificatie naar polisbeheer• E-mailbevestiging naar klant (na verwerking)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With Whom (Rollen)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 Indexatieteam (primair verantwoordelijk)• Polisbeheerders (uitvoerders van taken)• Operations management (P&amp;C Operations)• Klanten &amp; makelaars (externe inputleveranciers)• IT-support (bij systeemproblemen)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With What (Middelen)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Outlook mailbox• In-house task distribution system• Polisbeheersysteem (core insurance system)• Interne handleidingen, Excel-lijsten, templates• Laptop en toegang tot interne netwerken</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How (Processtappen)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 E-mail komt binnen op generieke Allianz mailbox2. Indexatiemedewerker opent de e-mail3. Inhoud wordt manueel geïnterpreteerd4. Medewerker zoekt relevante info in polissysteem5. Taak wordt manueel aangemaakt in task distribution system6. Taakparameters worden ingevuld7. Taak wordt handmatig toegewezen aan een beheerder8. Beheerder ontvangt taak in zijn/haar werkbak9. Poliswijziging wordt manueel uitgevoerd10. Beheerder stuurt handmatige bevestigingsmail naar klant</w:t>
            </w:r>
            <w:r w:rsidDel="00000000" w:rsidR="00000000" w:rsidRPr="00000000">
              <w:rPr>
                <w:b w:val="1"/>
                <w:bCs w:val="1"/>
                <w:rtl w:val="0"/>
              </w:rPr>
              <w:t xml:space="preserve">Kenmerken:</w:t>
            </w:r>
            <w:r w:rsidDel="00000000" w:rsidR="00000000" w:rsidRPr="00000000">
              <w:rPr>
                <w:rtl w:val="0"/>
              </w:rPr>
              <w:t xml:space="preserve"> veel manueel, traag, foutgevoelig, niet schaalbaar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Metrics (KPI’s)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 Doorlooptijd van e-mail tot taakcreatie• Doorlooptijd van taakcreatie tot taakbehandeling• Aantal classificatiefouten (accuracy)• Percentage verkeerd toegewezen taken• Aantal taken per medewerker per dag• SLA: tijdige reactie naar klant</w:t>
            </w:r>
          </w:p>
        </w:tc>
      </w:tr>
    </w:tbl>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