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png" ContentType="image/png"/>
  <Override PartName="/word/media/rId145.png" ContentType="image/png"/>
  <Override PartName="/word/media/rId149.png" ContentType="image/png"/>
  <Override PartName="/word/media/rId109.png" ContentType="image/png"/>
  <Override PartName="/word/media/rId113.png" ContentType="image/png"/>
  <Override PartName="/word/media/rId133.png" ContentType="image/png"/>
  <Override PartName="/word/media/rId137.png" ContentType="image/png"/>
  <Override PartName="/word/media/rId119.png" ContentType="image/png"/>
  <Override PartName="/word/media/rId123.png" ContentType="image/png"/>
  <Override PartName="/word/media/rId127.png" ContentType="image/png"/>
  <Override PartName="/word/media/rId154.png" ContentType="image/png"/>
  <Override PartName="/word/media/rId158.png" ContentType="image/png"/>
  <Override PartName="/word/media/rId162.png" ContentType="image/png"/>
  <Override PartName="/word/media/rId93.png" ContentType="image/png"/>
  <Override PartName="/word/media/rId105.png" ContentType="image/png"/>
  <Override PartName="/word/media/rId97.png" ContentType="image/png"/>
  <Override PartName="/word/media/rId101.png" ContentType="image/png"/>
  <Override PartName="/word/media/rId173.png" ContentType="image/png"/>
  <Override PartName="/word/media/rId168.png" ContentType="image/png"/>
  <Override PartName="/word/media/rId63.png" ContentType="image/png"/>
  <Override PartName="/word/media/rId59.png" ContentType="image/png"/>
  <Override PartName="/word/media/rId27.png" ContentType="image/png"/>
  <Override PartName="/word/media/rId23.png" ContentType="image/png"/>
  <Override PartName="/word/media/rId43.png" ContentType="image/png"/>
  <Override PartName="/word/media/rId55.png" ContentType="image/png"/>
  <Override PartName="/word/media/rId82.png" ContentType="image/png"/>
  <Override PartName="/word/media/rId86.png" ContentType="image/png"/>
  <Override PartName="/word/media/rId78.png" ContentType="image/png"/>
  <Override PartName="/word/media/rId74.png" ContentType="image/png"/>
  <Override PartName="/word/media/rId70.png" ContentType="image/png"/>
  <Override PartName="/word/media/rId51.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68"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47"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r>
        <w:rPr>
          <w:b/>
          <w:bCs/>
        </w:rPr>
        <w:t xml:space="preserve">?@fig-dataExtent</w:t>
      </w:r>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bookmarkEnd w:id="47"/>
    <w:bookmarkStart w:id="67"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48"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48"/>
        </w:tc>
      </w:tr>
    </w:tbl>
    <w:tbl>
      <w:tblPr>
        <w:tblStyle w:val="Table"/>
        <w:tblW w:type="pct" w:w="5000"/>
        <w:tblLayout w:type="fixed"/>
        <w:tblLook w:firstRow="0" w:lastRow="0" w:firstColumn="0" w:lastColumn="0" w:noHBand="0" w:noVBand="0" w:val="0000"/>
      </w:tblPr>
      <w:tblGrid>
        <w:gridCol w:w="7920"/>
      </w:tblGrid>
      <w:tr>
        <w:tc>
          <w:tcPr/>
          <w:bookmarkStart w:id="49"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0"/>
        </w:tc>
      </w:tr>
    </w:tbl>
    <w:tbl>
      <w:tblPr>
        <w:tblStyle w:val="Table"/>
        <w:tblW w:type="pct" w:w="5000"/>
        <w:tblLayout w:type="fixed"/>
        <w:tblLook w:firstRow="0" w:lastRow="0" w:firstColumn="0" w:lastColumn="0" w:noHBand="0" w:noVBand="0" w:val="0000"/>
      </w:tblPr>
      <w:tblGrid>
        <w:gridCol w:w="7920"/>
      </w:tblGrid>
      <w:tr>
        <w:tc>
          <w:tcPr/>
          <w:bookmarkStart w:id="54" w:name="fig-mod_fit_agg_comp"/>
          <w:p>
            <w:pPr>
              <w:pStyle w:val="Compact"/>
              <w:jc w:val="center"/>
            </w:pPr>
            <w:r>
              <w:drawing>
                <wp:inline>
                  <wp:extent cx="5334000" cy="2845836"/>
                  <wp:effectExtent b="0" l="0" r="0" t="0"/>
                  <wp:docPr descr="" title="" id="52" name="Picture"/>
                  <a:graphic>
                    <a:graphicData uri="http://schemas.openxmlformats.org/drawingml/2006/picture">
                      <pic:pic>
                        <pic:nvPicPr>
                          <pic:cNvPr descr="figs/mod_fit_agg_comp.png" id="53" name="Picture"/>
                          <pic:cNvPicPr>
                            <a:picLocks noChangeArrowheads="1" noChangeAspect="1"/>
                          </pic:cNvPicPr>
                        </pic:nvPicPr>
                        <pic:blipFill>
                          <a:blip r:embed="rId51"/>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One-step ahead residuals for different model specifications for the fishery composition data</w:t>
            </w:r>
          </w:p>
          <w:bookmarkEnd w:id="54"/>
        </w:tc>
      </w:tr>
    </w:tbl>
    <w:tbl>
      <w:tblPr>
        <w:tblStyle w:val="Table"/>
        <w:tblW w:type="pct" w:w="5000"/>
        <w:tblLayout w:type="fixed"/>
        <w:tblLook w:firstRow="0" w:lastRow="0" w:firstColumn="0" w:lastColumn="0" w:noHBand="0" w:noVBand="0" w:val="0000"/>
      </w:tblPr>
      <w:tblGrid>
        <w:gridCol w:w="7920"/>
      </w:tblGrid>
      <w:tr>
        <w:tc>
          <w:tcPr/>
          <w:bookmarkStart w:id="58" w:name="fig-bts_fish"/>
          <w:p>
            <w:pPr>
              <w:pStyle w:val="Compact"/>
              <w:jc w:val="center"/>
            </w:pPr>
            <w:r>
              <w:drawing>
                <wp:inline>
                  <wp:extent cx="5334000" cy="2720975"/>
                  <wp:effectExtent b="0" l="0" r="0" t="0"/>
                  <wp:docPr descr="" title="" id="56" name="Picture"/>
                  <a:graphic>
                    <a:graphicData uri="http://schemas.openxmlformats.org/drawingml/2006/picture">
                      <pic:pic>
                        <pic:nvPicPr>
                          <pic:cNvPr descr="figs/fish_osa.png" id="57" name="Picture"/>
                          <pic:cNvPicPr>
                            <a:picLocks noChangeArrowheads="1" noChangeAspect="1"/>
                          </pic:cNvPicPr>
                        </pic:nvPicPr>
                        <pic:blipFill>
                          <a:blip r:embed="rId55"/>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osa"/>
          <w:p>
            <w:pPr>
              <w:pStyle w:val="Compact"/>
              <w:jc w:val="center"/>
            </w:pPr>
            <w:r>
              <w:drawing>
                <wp:inline>
                  <wp:extent cx="5334000" cy="2757516"/>
                  <wp:effectExtent b="0" l="0" r="0" t="0"/>
                  <wp:docPr descr="" title="" id="60" name="Picture"/>
                  <a:graphic>
                    <a:graphicData uri="http://schemas.openxmlformats.org/drawingml/2006/picture">
                      <pic:pic>
                        <pic:nvPicPr>
                          <pic:cNvPr descr="figs/bts_osa.png" id="61" name="Picture"/>
                          <pic:cNvPicPr>
                            <a:picLocks noChangeArrowheads="1" noChangeAspect="1"/>
                          </pic:cNvPicPr>
                        </pic:nvPicPr>
                        <pic:blipFill>
                          <a:blip r:embed="rId59"/>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bottom-trawl survey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ats_osa"/>
          <w:p>
            <w:pPr>
              <w:pStyle w:val="Compact"/>
              <w:jc w:val="center"/>
            </w:pPr>
            <w:r>
              <w:drawing>
                <wp:inline>
                  <wp:extent cx="5334000" cy="2714795"/>
                  <wp:effectExtent b="0" l="0" r="0" t="0"/>
                  <wp:docPr descr="" title="" id="64" name="Picture"/>
                  <a:graphic>
                    <a:graphicData uri="http://schemas.openxmlformats.org/drawingml/2006/picture">
                      <pic:pic>
                        <pic:nvPicPr>
                          <pic:cNvPr descr="figs/ats_osa.png" id="65" name="Picture"/>
                          <pic:cNvPicPr>
                            <a:picLocks noChangeArrowheads="1" noChangeAspect="1"/>
                          </pic:cNvPicPr>
                        </pic:nvPicPr>
                        <pic:blipFill>
                          <a:blip r:embed="rId63"/>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acoustic-trawl survey composition data</w:t>
            </w:r>
          </w:p>
          <w:bookmarkEnd w:id="66"/>
        </w:tc>
      </w:tr>
    </w:tbl>
    <w:bookmarkEnd w:id="67"/>
    <w:bookmarkEnd w:id="68"/>
    <w:bookmarkStart w:id="92"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downweight all Acoustic Trawl Survey (ATS) data (age 1 survey index, age 2+ survey biomass index, and age composition data), (2) downweight the ATS age composition data, (3) downweight the Acoustic Vessels of Opportunity (AVO) data (survey biomass index), (4) downweight all Eastern Bering Sea Trawl Survey (BTS) data (age 1+ survey biomass index and age composition data), (5) downweight the BTS age composition data, and (6) downweight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69"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69"/>
        </w:tc>
      </w:tr>
    </w:tbl>
    <w:p>
      <w:pPr>
        <w:pStyle w:val="BodyText"/>
      </w:pPr>
      <w:r>
        <w:t xml:space="preserve">Among these models, downweighting the BTS data (both solely downweighting the BTS age composition data and downweighting all BTS data) led to changes in trends over time in estimated spawning biomass</w:t>
      </w:r>
      <w:r>
        <w:t xml:space="preserve"> </w:t>
      </w:r>
      <w:hyperlink w:anchor="fig-loo-ssb">
        <w:r>
          <w:rPr>
            <w:rStyle w:val="Hyperlink"/>
          </w:rPr>
          <w:t xml:space="preserve">Figure 11</w:t>
        </w:r>
      </w:hyperlink>
      <w:r>
        <w:t xml:space="preserve"> </w:t>
      </w:r>
      <w:r>
        <w:t xml:space="preserve">. The model estimates of recruitment were</w:t>
      </w:r>
      <w:r>
        <w:t xml:space="preserve"> </w:t>
      </w:r>
      <w:r>
        <w:t xml:space="preserve">variable across sensitivity runs, but estimates differed the most from the 2024 accepted model when all BTS data were downweighted</w:t>
      </w:r>
      <w:r>
        <w:t xml:space="preserve"> </w:t>
      </w:r>
      <w:hyperlink w:anchor="fig-loo-recruitment">
        <w:r>
          <w:rPr>
            <w:rStyle w:val="Hyperlink"/>
          </w:rPr>
          <w:t xml:space="preserve">Figure 12</w:t>
        </w:r>
      </w:hyperlink>
      <w:r>
        <w:t xml:space="preserve">. Estimates of BTS survey biomass fit the BTS data very poorly in most years when the BTS data were downweighted (</w:t>
      </w:r>
      <w:hyperlink w:anchor="fig-loo-bts-index">
        <w:r>
          <w:rPr>
            <w:rStyle w:val="Hyperlink"/>
          </w:rPr>
          <w:t xml:space="preserve">Figure 13</w:t>
        </w:r>
      </w:hyperlink>
      <w:r>
        <w:t xml:space="preserve">). Additionally, the fits to the BTS survey biomass were affected by downweighting the BTS age composition data (without downweighting the BTS survey index). The model was relatively insensitive to other data being excluded, and fits to the ATS and AVO indices were relatively insensitive to downweighting the BTS data (see</w:t>
      </w:r>
      <w:r>
        <w:t xml:space="preserve"> </w:t>
      </w:r>
      <w:hyperlink w:anchor="fig-loo-bts-index">
        <w:r>
          <w:rPr>
            <w:rStyle w:val="Hyperlink"/>
          </w:rPr>
          <w:t xml:space="preserve">Figure 13</w:t>
        </w:r>
      </w:hyperlink>
      <w:r>
        <w:t xml:space="preserve">,</w:t>
      </w:r>
      <w:r>
        <w:t xml:space="preserve"> </w:t>
      </w:r>
      <w:hyperlink w:anchor="fig-loo-ats-index">
        <w:r>
          <w:rPr>
            <w:rStyle w:val="Hyperlink"/>
          </w:rPr>
          <w:t xml:space="preserve">Figure 14</w:t>
        </w:r>
      </w:hyperlink>
      <w:r>
        <w:t xml:space="preserve">, and</w:t>
      </w:r>
      <w:r>
        <w:t xml:space="preserve"> </w:t>
      </w:r>
      <w:hyperlink w:anchor="fig-loo-avo-index">
        <w:r>
          <w:rPr>
            <w:rStyle w:val="Hyperlink"/>
          </w:rPr>
          <w:t xml:space="preserve">Figure 15</w:t>
        </w:r>
      </w:hyperlink>
      <w:r>
        <w:t xml:space="preserve">). The root mean square error (RMSE) in</w:t>
      </w:r>
      <w:r>
        <w:t xml:space="preserve"> </w:t>
      </w:r>
      <w:hyperlink w:anchor="tbl-loo_fits">
        <w:r>
          <w:rPr>
            <w:rStyle w:val="Hyperlink"/>
          </w:rPr>
          <w:t xml:space="preserve">Table 5</w:t>
        </w:r>
      </w:hyperlink>
      <w:r>
        <w:t xml:space="preserve"> </w:t>
      </w:r>
      <w:r>
        <w:t xml:space="preserve">for the model run that downweighted all BTS data was large and the and effective sample size (Eff. N) was low as compared to the 2024 accepted model. Additionally, downweighting solely the BTS age composition data led to low effective sample size for the BTS.</w:t>
      </w:r>
    </w:p>
    <w:p>
      <w:pPr>
        <w:pStyle w:val="BodyText"/>
      </w:pPr>
      <w:r>
        <w:t xml:space="preserve">The importance of the survey data can be seen in some of the reference calculations where the uncertainty increases dramatically and the stock-status perception was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3" w:name="fig-loo-ssb"/>
          <w:p>
            <w:pPr>
              <w:pStyle w:val="Compact"/>
              <w:jc w:val="center"/>
            </w:pPr>
            <w:r>
              <w:drawing>
                <wp:inline>
                  <wp:extent cx="5334000" cy="2667000"/>
                  <wp:effectExtent b="0" l="0" r="0" t="0"/>
                  <wp:docPr descr="" title="" id="71" name="Picture"/>
                  <a:graphic>
                    <a:graphicData uri="http://schemas.openxmlformats.org/drawingml/2006/picture">
                      <pic:pic>
                        <pic:nvPicPr>
                          <pic:cNvPr descr="figs/loo_rel_ssb.png" id="72" name="Picture"/>
                          <pic:cNvPicPr>
                            <a:picLocks noChangeArrowheads="1" noChangeAspect="1"/>
                          </pic:cNvPicPr>
                        </pic:nvPicPr>
                        <pic:blipFill>
                          <a:blip r:embed="rId7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Comparison of spawning biomass (SSB) relative to the 2024 accepted model for models that downweight one data source at a time</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loo-recruitment"/>
          <w:p>
            <w:pPr>
              <w:pStyle w:val="Compact"/>
              <w:jc w:val="center"/>
            </w:pPr>
            <w:r>
              <w:drawing>
                <wp:inline>
                  <wp:extent cx="5334000" cy="1777999"/>
                  <wp:effectExtent b="0" l="0" r="0" t="0"/>
                  <wp:docPr descr="" title="" id="75" name="Picture"/>
                  <a:graphic>
                    <a:graphicData uri="http://schemas.openxmlformats.org/drawingml/2006/picture">
                      <pic:pic>
                        <pic:nvPicPr>
                          <pic:cNvPr descr="figs/loo_recruits.png" id="76" name="Picture"/>
                          <pic:cNvPicPr>
                            <a:picLocks noChangeArrowheads="1" noChangeAspect="1"/>
                          </pic:cNvPicPr>
                        </pic:nvPicPr>
                        <pic:blipFill>
                          <a:blip r:embed="rId74"/>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recruitment estimates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bts-index"/>
          <w:p>
            <w:pPr>
              <w:pStyle w:val="Compact"/>
              <w:jc w:val="center"/>
            </w:pPr>
            <w:r>
              <w:drawing>
                <wp:inline>
                  <wp:extent cx="5334000" cy="2667000"/>
                  <wp:effectExtent b="0" l="0" r="0" t="0"/>
                  <wp:docPr descr="" title="" id="79" name="Picture"/>
                  <a:graphic>
                    <a:graphicData uri="http://schemas.openxmlformats.org/drawingml/2006/picture">
                      <pic:pic>
                        <pic:nvPicPr>
                          <pic:cNvPr descr="figs/loo_bts_index.png" id="80" name="Picture"/>
                          <pic:cNvPicPr>
                            <a:picLocks noChangeArrowheads="1" noChangeAspect="1"/>
                          </pic:cNvPicPr>
                        </pic:nvPicPr>
                        <pic:blipFill>
                          <a:blip r:embed="rId7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fits to the Eastern Bering Sea Bottom Trawl Survey (BTS) biomass index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a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a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Acoustic Trawl Survey (ATS)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vo-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vo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Vessels of Opportunity (AVO)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0"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0"/>
        </w:tc>
      </w:tr>
    </w:tbl>
    <w:tbl>
      <w:tblPr>
        <w:tblStyle w:val="Table"/>
        <w:tblW w:type="pct" w:w="5000"/>
        <w:tblLayout w:type="fixed"/>
        <w:tblLook w:firstRow="0" w:lastRow="0" w:firstColumn="0" w:lastColumn="0" w:noHBand="0" w:noVBand="0" w:val="0000"/>
      </w:tblPr>
      <w:tblGrid>
        <w:gridCol w:w="7920"/>
      </w:tblGrid>
      <w:tr>
        <w:tc>
          <w:tcPr/>
          <w:bookmarkStart w:id="91"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1"/>
        </w:tc>
      </w:tr>
    </w:tbl>
    <w:bookmarkEnd w:id="92"/>
    <w:bookmarkStart w:id="167" w:name="alternative-assessment-software"/>
    <w:p>
      <w:pPr>
        <w:pStyle w:val="Heading1"/>
      </w:pPr>
      <w:r>
        <w:t xml:space="preserve">Alternative assessment software</w:t>
      </w:r>
    </w:p>
    <w:bookmarkStart w:id="117"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16</w:t>
        </w:r>
      </w:hyperlink>
      <w:r>
        <w:t xml:space="preserve">). These showed the impact on the uncertainty and stock trends</w:t>
      </w:r>
      <w:r>
        <w:t xml:space="preserve"> </w:t>
      </w:r>
      <w:r>
        <w:t xml:space="preserve">(</w:t>
      </w:r>
      <w:hyperlink w:anchor="fig-synts-1">
        <w:r>
          <w:rPr>
            <w:rStyle w:val="Hyperlink"/>
          </w:rPr>
          <w:t xml:space="preserve">Figure 17</w:t>
        </w:r>
      </w:hyperlink>
      <w:r>
        <w:t xml:space="preserve"> </w:t>
      </w:r>
      <w:r>
        <w:t xml:space="preserve">for SSB and</w:t>
      </w:r>
      <w:r>
        <w:t xml:space="preserve"> </w:t>
      </w:r>
      <w:hyperlink w:anchor="fig-synts-2">
        <w:r>
          <w:rPr>
            <w:rStyle w:val="Hyperlink"/>
          </w:rPr>
          <w:t xml:space="preserve">Figure 18</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96" w:name="fig-ss3"/>
          <w:p>
            <w:pPr>
              <w:pStyle w:val="Compact"/>
              <w:jc w:val="center"/>
            </w:pPr>
            <w:r>
              <w:drawing>
                <wp:inline>
                  <wp:extent cx="5334000" cy="4267200"/>
                  <wp:effectExtent b="0" l="0" r="0" t="0"/>
                  <wp:docPr descr="" title="" id="94" name="Picture"/>
                  <a:graphic>
                    <a:graphicData uri="http://schemas.openxmlformats.org/drawingml/2006/picture">
                      <pic:pic>
                        <pic:nvPicPr>
                          <pic:cNvPr descr="CIE_files/figure-docx/fig-ss3-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Model results comparing three different SS3 model configurations. The models are the base model (Base), the constrained model (Constrained), and the flexible model (Flexible).</w:t>
            </w:r>
          </w:p>
          <w:bookmarkEnd w:id="96"/>
        </w:tc>
      </w:tr>
    </w:tbl>
    <w:tbl>
      <w:tblPr>
        <w:tblStyle w:val="Table"/>
        <w:tblW w:type="pct" w:w="5000"/>
        <w:tblLayout w:type="fixed"/>
        <w:tblLook w:firstRow="0" w:lastRow="0" w:firstColumn="0" w:lastColumn="0" w:noHBand="0" w:noVBand="0" w:val="0000"/>
      </w:tblPr>
      <w:tblGrid>
        <w:gridCol w:w="7920"/>
      </w:tblGrid>
      <w:tr>
        <w:tc>
          <w:tcPr/>
          <w:bookmarkStart w:id="100" w:name="fig-synts-1"/>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ynts-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the time-series for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2"/>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2.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19</w:t>
        </w:r>
      </w:hyperlink>
      <w:r>
        <w:t xml:space="preserve">) but slight differences in SSB and recruitment estimates</w:t>
      </w:r>
      <w:r>
        <w:t xml:space="preserve"> </w:t>
      </w:r>
      <w:r>
        <w:t xml:space="preserve">(</w:t>
      </w:r>
      <w:hyperlink w:anchor="fig-pmvss3-1">
        <w:r>
          <w:rPr>
            <w:rStyle w:val="Hyperlink"/>
          </w:rPr>
          <w:t xml:space="preserve">Figure 20</w:t>
        </w:r>
      </w:hyperlink>
      <w:r>
        <w:t xml:space="preserve"> </w:t>
      </w:r>
      <w:r>
        <w:t xml:space="preserve">and</w:t>
      </w:r>
      <w:r>
        <w:t xml:space="preserve"> </w:t>
      </w:r>
      <w:hyperlink w:anchor="fig-pmvss3-2">
        <w:r>
          <w:rPr>
            <w:rStyle w:val="Hyperlink"/>
          </w:rPr>
          <w:t xml:space="preserve">Figure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fig-ss3vpmsel"/>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s3vpmsel-1.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selectivity estimates between the base SS3 model configuration and the pollock model accepted in 2024.</w:t>
            </w:r>
          </w:p>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pmvss3-1"/>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pmvss3-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the base SS3 model configuration with the model used for pollock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2"/>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2.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bookmarkEnd w:id="117"/>
    <w:bookmarkStart w:id="131"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18">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fig-sam"/>
          <w:p>
            <w:pPr>
              <w:pStyle w:val="Compact"/>
              <w:jc w:val="center"/>
            </w:pPr>
            <w:r>
              <w:drawing>
                <wp:inline>
                  <wp:extent cx="5334000" cy="4267200"/>
                  <wp:effectExtent b="0" l="0" r="0" t="0"/>
                  <wp:docPr descr="" title="" id="120" name="Picture"/>
                  <a:graphic>
                    <a:graphicData uri="http://schemas.openxmlformats.org/drawingml/2006/picture">
                      <pic:pic>
                        <pic:nvPicPr>
                          <pic:cNvPr descr="CIE_files/figure-docx/fig-sam-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last year’s model with the SAM model.</w:t>
            </w:r>
          </w:p>
          <w:bookmarkEnd w:id="122"/>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23</w:t>
        </w:r>
      </w:hyperlink>
      <w:r>
        <w:t xml:space="preserve">). The recruitment estimates are similar as well</w:t>
      </w:r>
      <w:r>
        <w:t xml:space="preserve"> </w:t>
      </w:r>
      <w:r>
        <w:t xml:space="preserve">(</w:t>
      </w:r>
      <w:hyperlink w:anchor="fig-samts-2">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ts-1"/>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ts-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 for spawning biomass (top) and recruitment at age 1 (bottom).</w:t>
            </w:r>
          </w:p>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amts-2"/>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2.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bookmarkEnd w:id="131"/>
    <w:bookmarkStart w:id="153"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2">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fig-rceattle"/>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rceattle-1.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Rceattle model.</w:t>
            </w:r>
          </w:p>
          <w:bookmarkEnd w:id="136"/>
        </w:tc>
      </w:tr>
    </w:tbl>
    <w:tbl>
      <w:tblPr>
        <w:tblStyle w:val="Table"/>
        <w:tblW w:type="pct" w:w="5000"/>
        <w:tblLayout w:type="fixed"/>
        <w:tblLook w:firstRow="0" w:lastRow="0" w:firstColumn="0" w:lastColumn="0" w:noHBand="0" w:noVBand="0" w:val="0000"/>
      </w:tblPr>
      <w:tblGrid>
        <w:gridCol w:w="7920"/>
      </w:tblGrid>
      <w:tr>
        <w:tc>
          <w:tcPr/>
          <w:bookmarkStart w:id="140" w:name="fig-rceattle_ts"/>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_ts-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all"/>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all-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_ts-1"/>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_ts-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2"/>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2.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bookmarkEnd w:id="153"/>
    <w:bookmarkStart w:id="166"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30</w:t>
        </w:r>
      </w:hyperlink>
      <w:r>
        <w:t xml:space="preserve"> </w:t>
      </w:r>
      <w:r>
        <w:t xml:space="preserve">shows the model results comparing time-varying selectivity whereas</w:t>
      </w:r>
      <w:r>
        <w:t xml:space="preserve"> </w:t>
      </w:r>
      <w:hyperlink w:anchor="fig-spock_ts-1">
        <w:r>
          <w:rPr>
            <w:rStyle w:val="Hyperlink"/>
          </w:rPr>
          <w:t xml:space="preserve">Figure 31</w:t>
        </w:r>
      </w:hyperlink>
      <w:r>
        <w:t xml:space="preserve"> </w:t>
      </w:r>
      <w:r>
        <w:t xml:space="preserve">shows the model results time series. The difference in the age-1 recruits (</w:t>
      </w:r>
      <w:hyperlink w:anchor="fig-spock_ts-2">
        <w:r>
          <w:rPr>
            <w:rStyle w:val="Hyperlink"/>
          </w:rPr>
          <w:t xml:space="preserve">Figure 32</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57" w:name="fig-spock_sel"/>
          <w:p>
            <w:pPr>
              <w:pStyle w:val="Compact"/>
              <w:jc w:val="center"/>
            </w:pPr>
            <w:r>
              <w:drawing>
                <wp:inline>
                  <wp:extent cx="5334000" cy="4267200"/>
                  <wp:effectExtent b="0" l="0" r="0" t="0"/>
                  <wp:docPr descr="" title="" id="155" name="Picture"/>
                  <a:graphic>
                    <a:graphicData uri="http://schemas.openxmlformats.org/drawingml/2006/picture">
                      <pic:pic>
                        <pic:nvPicPr>
                          <pic:cNvPr descr="CIE_files/figure-docx/fig-spock_sel-1.png" id="156" name="Picture"/>
                          <pic:cNvPicPr>
                            <a:picLocks noChangeArrowheads="1" noChangeAspect="1"/>
                          </pic:cNvPicPr>
                        </pic:nvPicPr>
                        <pic:blipFill>
                          <a:blip r:embed="rId15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SPock model.</w:t>
            </w:r>
          </w:p>
          <w:bookmarkEnd w:id="157"/>
        </w:tc>
      </w:tr>
    </w:tbl>
    <w:tbl>
      <w:tblPr>
        <w:tblStyle w:val="Table"/>
        <w:tblW w:type="pct" w:w="5000"/>
        <w:tblLayout w:type="fixed"/>
        <w:tblLook w:firstRow="0" w:lastRow="0" w:firstColumn="0" w:lastColumn="0" w:noHBand="0" w:noVBand="0" w:val="0000"/>
      </w:tblPr>
      <w:tblGrid>
        <w:gridCol w:w="7920"/>
      </w:tblGrid>
      <w:tr>
        <w:tc>
          <w:tcPr/>
          <w:bookmarkStart w:id="161" w:name="fig-spock_ts-1"/>
          <w:p>
            <w:pPr>
              <w:pStyle w:val="Compact"/>
              <w:jc w:val="center"/>
            </w:pPr>
            <w:r>
              <w:drawing>
                <wp:inline>
                  <wp:extent cx="5334000" cy="2667000"/>
                  <wp:effectExtent b="0" l="0" r="0" t="0"/>
                  <wp:docPr descr="" title="" id="159" name="Picture"/>
                  <a:graphic>
                    <a:graphicData uri="http://schemas.openxmlformats.org/drawingml/2006/picture">
                      <pic:pic>
                        <pic:nvPicPr>
                          <pic:cNvPr descr="CIE_files/figure-docx/fig-spock_ts-1.png" id="160" name="Picture"/>
                          <pic:cNvPicPr>
                            <a:picLocks noChangeArrowheads="1" noChangeAspect="1"/>
                          </pic:cNvPicPr>
                        </pic:nvPicPr>
                        <pic:blipFill>
                          <a:blip r:embed="rId15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2"/>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2.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bookmarkEnd w:id="166"/>
    <w:bookmarkEnd w:id="167"/>
    <w:bookmarkStart w:id="178" w:name="X2ca98e5c32d63d527c2188348bd8baaabbd45e2"/>
    <w:p>
      <w:pPr>
        <w:pStyle w:val="Heading1"/>
      </w:pPr>
      <w:r>
        <w:t xml:space="preserve">Bottom-trawl survey spatial distribution modeling</w:t>
      </w:r>
    </w:p>
    <w:bookmarkStart w:id="17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1" w:name="fig-sdm_index"/>
          <w:p>
            <w:pPr>
              <w:pStyle w:val="Compact"/>
              <w:jc w:val="center"/>
            </w:pPr>
            <w:r>
              <w:drawing>
                <wp:inline>
                  <wp:extent cx="5334000" cy="3578794"/>
                  <wp:effectExtent b="0" l="0" r="0" t="0"/>
                  <wp:docPr descr="" title="" id="169" name="Picture"/>
                  <a:graphic>
                    <a:graphicData uri="http://schemas.openxmlformats.org/drawingml/2006/picture">
                      <pic:pic>
                        <pic:nvPicPr>
                          <pic:cNvPr descr="figs/Vast_index_updated.png" id="170" name="Picture"/>
                          <pic:cNvPicPr>
                            <a:picLocks noChangeArrowheads="1" noChangeAspect="1"/>
                          </pic:cNvPicPr>
                        </pic:nvPicPr>
                        <pic:blipFill>
                          <a:blip r:embed="rId168"/>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revised sdmTMB model.</w:t>
            </w:r>
          </w:p>
          <w:bookmarkEnd w:id="171"/>
        </w:tc>
      </w:tr>
    </w:tbl>
    <w:bookmarkEnd w:id="172"/>
    <w:bookmarkStart w:id="177"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34</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6" w:name="fig-sdm_age"/>
          <w:p>
            <w:pPr>
              <w:pStyle w:val="Compact"/>
              <w:jc w:val="center"/>
            </w:pPr>
            <w:r>
              <w:drawing>
                <wp:inline>
                  <wp:extent cx="5334000" cy="4798793"/>
                  <wp:effectExtent b="0" l="0" r="0" t="0"/>
                  <wp:docPr descr="" title="" id="174" name="Picture"/>
                  <a:graphic>
                    <a:graphicData uri="http://schemas.openxmlformats.org/drawingml/2006/picture">
                      <pic:pic>
                        <pic:nvPicPr>
                          <pic:cNvPr descr="figs/VAST_Age_Compare.png" id="175" name="Picture"/>
                          <pic:cNvPicPr>
                            <a:picLocks noChangeArrowheads="1" noChangeAspect="1"/>
                          </pic:cNvPicPr>
                        </pic:nvPicPr>
                        <pic:blipFill>
                          <a:blip r:embed="rId17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revised sdmTMB model.</w:t>
            </w:r>
          </w:p>
          <w:bookmarkEnd w:id="176"/>
        </w:tc>
      </w:tr>
    </w:tbl>
    <w:bookmarkEnd w:id="177"/>
    <w:bookmarkEnd w:id="178"/>
    <w:bookmarkStart w:id="219" w:name="references"/>
    <w:p>
      <w:pPr>
        <w:pStyle w:val="Heading1"/>
      </w:pPr>
      <w:r>
        <w:t xml:space="preserve">References</w:t>
      </w:r>
    </w:p>
    <w:bookmarkStart w:id="218" w:name="refs"/>
    <w:bookmarkStart w:id="180"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79">
        <w:r>
          <w:rPr>
            <w:rStyle w:val="Hyperlink"/>
          </w:rPr>
          <w:t xml:space="preserve">https://doi.org/10.1016/j.fishres.2022.106303</w:t>
        </w:r>
      </w:hyperlink>
      <w:r>
        <w:t xml:space="preserve">.</w:t>
      </w:r>
    </w:p>
    <w:bookmarkEnd w:id="180"/>
    <w:bookmarkStart w:id="182"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1">
        <w:r>
          <w:rPr>
            <w:rStyle w:val="Hyperlink"/>
          </w:rPr>
          <w:t xml:space="preserve">https://doi.org/10.1101/2022.03.24.485545</w:t>
        </w:r>
      </w:hyperlink>
      <w:r>
        <w:t xml:space="preserve">.</w:t>
      </w:r>
    </w:p>
    <w:bookmarkEnd w:id="182"/>
    <w:bookmarkStart w:id="183"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3"/>
    <w:bookmarkStart w:id="185"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4">
        <w:r>
          <w:rPr>
            <w:rStyle w:val="Hyperlink"/>
          </w:rPr>
          <w:t xml:space="preserve">https://doi.org/10.1111/faf.12891</w:t>
        </w:r>
      </w:hyperlink>
      <w:r>
        <w:t xml:space="preserve">.</w:t>
      </w:r>
    </w:p>
    <w:bookmarkEnd w:id="185"/>
    <w:bookmarkStart w:id="187"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86">
        <w:r>
          <w:rPr>
            <w:rStyle w:val="Hyperlink"/>
          </w:rPr>
          <w:t xml:space="preserve">https://doi.org/10.1080/10618600.1996.10474708</w:t>
        </w:r>
      </w:hyperlink>
      <w:r>
        <w:t xml:space="preserve">.</w:t>
      </w:r>
    </w:p>
    <w:bookmarkEnd w:id="187"/>
    <w:bookmarkStart w:id="188"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88"/>
    <w:bookmarkStart w:id="190"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89">
        <w:r>
          <w:rPr>
            <w:rStyle w:val="Hyperlink"/>
          </w:rPr>
          <w:t xml:space="preserve">http://florianhartig.github.io/DHARMa/</w:t>
        </w:r>
      </w:hyperlink>
      <w:r>
        <w:t xml:space="preserve">.</w:t>
      </w:r>
    </w:p>
    <w:bookmarkEnd w:id="190"/>
    <w:bookmarkStart w:id="192"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1">
        <w:r>
          <w:rPr>
            <w:rStyle w:val="Hyperlink"/>
          </w:rPr>
          <w:t xml:space="preserve">https://doi.org/10.1139/cjfas-2018-0112</w:t>
        </w:r>
      </w:hyperlink>
      <w:r>
        <w:t xml:space="preserve">.</w:t>
      </w:r>
    </w:p>
    <w:bookmarkEnd w:id="192"/>
    <w:bookmarkStart w:id="194"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3">
        <w:r>
          <w:rPr>
            <w:rStyle w:val="Hyperlink"/>
          </w:rPr>
          <w:t xml:space="preserve">https://www.npfmc.org/wp-content/PDFdocuments/SAFE/2024/EBSmultispp.pdf</w:t>
        </w:r>
      </w:hyperlink>
      <w:r>
        <w:t xml:space="preserve">.</w:t>
      </w:r>
    </w:p>
    <w:bookmarkEnd w:id="194"/>
    <w:bookmarkStart w:id="196"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5">
        <w:r>
          <w:rPr>
            <w:rStyle w:val="Hyperlink"/>
          </w:rPr>
          <w:t xml:space="preserve">http://afsc-assessments.github.io/EBSpollock/</w:t>
        </w:r>
      </w:hyperlink>
      <w:r>
        <w:t xml:space="preserve">.</w:t>
      </w:r>
    </w:p>
    <w:bookmarkEnd w:id="196"/>
    <w:bookmarkStart w:id="197"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197"/>
    <w:bookmarkStart w:id="199"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198">
        <w:r>
          <w:rPr>
            <w:rStyle w:val="Hyperlink"/>
          </w:rPr>
          <w:t xml:space="preserve">https://doi.org/10.1016/j.fishres.2012.10.012</w:t>
        </w:r>
      </w:hyperlink>
      <w:r>
        <w:t xml:space="preserve">.</w:t>
      </w:r>
    </w:p>
    <w:bookmarkEnd w:id="199"/>
    <w:bookmarkStart w:id="201"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0">
        <w:r>
          <w:rPr>
            <w:rStyle w:val="Hyperlink"/>
          </w:rPr>
          <w:t xml:space="preserve">https://doi.org/10.1016/j.fishres.2014.01.014</w:t>
        </w:r>
      </w:hyperlink>
      <w:r>
        <w:t xml:space="preserve">.</w:t>
      </w:r>
    </w:p>
    <w:bookmarkEnd w:id="201"/>
    <w:bookmarkStart w:id="203"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2">
        <w:r>
          <w:rPr>
            <w:rStyle w:val="Hyperlink"/>
          </w:rPr>
          <w:t xml:space="preserve">https://doi.org/10.1093/icesjms/fsab078</w:t>
        </w:r>
      </w:hyperlink>
      <w:r>
        <w:t xml:space="preserve">.</w:t>
      </w:r>
    </w:p>
    <w:bookmarkEnd w:id="203"/>
    <w:bookmarkStart w:id="205"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4">
        <w:r>
          <w:rPr>
            <w:rStyle w:val="Hyperlink"/>
          </w:rPr>
          <w:t xml:space="preserve">https://doi.org/10.1111/fog.12494</w:t>
        </w:r>
      </w:hyperlink>
      <w:r>
        <w:t xml:space="preserve">.</w:t>
      </w:r>
    </w:p>
    <w:bookmarkEnd w:id="205"/>
    <w:bookmarkStart w:id="206"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06"/>
    <w:bookmarkStart w:id="208"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07">
        <w:r>
          <w:rPr>
            <w:rStyle w:val="Hyperlink"/>
          </w:rPr>
          <w:t xml:space="preserve">https://doi.org/10.25923/1wwh-q418</w:t>
        </w:r>
      </w:hyperlink>
      <w:r>
        <w:t xml:space="preserve">.</w:t>
      </w:r>
    </w:p>
    <w:bookmarkEnd w:id="208"/>
    <w:bookmarkStart w:id="210"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09">
        <w:r>
          <w:rPr>
            <w:rStyle w:val="Hyperlink"/>
          </w:rPr>
          <w:t xml:space="preserve">https://doi.org/10.1016/j.fishres.2021.105967</w:t>
        </w:r>
      </w:hyperlink>
      <w:r>
        <w:t xml:space="preserve">.</w:t>
      </w:r>
    </w:p>
    <w:bookmarkEnd w:id="210"/>
    <w:bookmarkStart w:id="212"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1">
        <w:r>
          <w:rPr>
            <w:rStyle w:val="Hyperlink"/>
          </w:rPr>
          <w:t xml:space="preserve">https://doi.org/10.1139/cjfas-2017-0266</w:t>
        </w:r>
      </w:hyperlink>
      <w:r>
        <w:t xml:space="preserve">.</w:t>
      </w:r>
    </w:p>
    <w:bookmarkEnd w:id="212"/>
    <w:bookmarkStart w:id="214"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3">
        <w:r>
          <w:rPr>
            <w:rStyle w:val="Hyperlink"/>
          </w:rPr>
          <w:t xml:space="preserve">https://doi.org/10.1002/lno.11238</w:t>
        </w:r>
      </w:hyperlink>
      <w:r>
        <w:t xml:space="preserve">.</w:t>
      </w:r>
    </w:p>
    <w:bookmarkEnd w:id="214"/>
    <w:bookmarkStart w:id="215"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5"/>
    <w:bookmarkStart w:id="217"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16">
        <w:r>
          <w:rPr>
            <w:rStyle w:val="Hyperlink"/>
          </w:rPr>
          <w:t xml:space="preserve">https://doi.org/10.1016/j.fishres.2015.11.016</w:t>
        </w:r>
      </w:hyperlink>
      <w:r>
        <w:t xml:space="preserve">.</w:t>
      </w:r>
    </w:p>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93" Target="media/rId93.png" /><Relationship Type="http://schemas.openxmlformats.org/officeDocument/2006/relationships/image" Id="rId105" Target="media/rId105.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73" Target="media/rId173.png" /><Relationship Type="http://schemas.openxmlformats.org/officeDocument/2006/relationships/image" Id="rId168" Target="media/rId168.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18" Target="https://github.com/noaa-afsc/EBS_pollock/tree/main/runs/SAM/poll24" TargetMode="External" /><Relationship Type="http://schemas.openxmlformats.org/officeDocument/2006/relationships/hyperlink" Id="rId132"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18" Target="https://github.com/noaa-afsc/EBS_pollock/tree/main/runs/SAM/poll24" TargetMode="External" /><Relationship Type="http://schemas.openxmlformats.org/officeDocument/2006/relationships/hyperlink" Id="rId132"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2025-05-07T20:54:53Z</dcterms:created>
  <dcterms:modified xsi:type="dcterms:W3CDTF">2025-05-07T20:54:53Z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