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53.png" ContentType="image/png"/>
  <Override PartName="/word/media/rId157.png" ContentType="image/png"/>
  <Override PartName="/word/media/rId161.png" ContentType="image/png"/>
  <Override PartName="/word/media/rId129.png" ContentType="image/png"/>
  <Override PartName="/word/media/rId133.png" ContentType="image/png"/>
  <Override PartName="/word/media/rId139.png" ContentType="image/png"/>
  <Override PartName="/word/media/rId143.png" ContentType="image/png"/>
  <Override PartName="/word/media/rId147.png" ContentType="image/png"/>
  <Override PartName="/word/media/rId166.png" ContentType="image/png"/>
  <Override PartName="/word/media/rId170.png" ContentType="image/png"/>
  <Override PartName="/word/media/rId174.png" ContentType="image/png"/>
  <Override PartName="/word/media/rId113.png" ContentType="image/png"/>
  <Override PartName="/word/media/rId125.png" ContentType="image/png"/>
  <Override PartName="/word/media/rId117.png" ContentType="image/png"/>
  <Override PartName="/word/media/rId121.png" ContentType="image/png"/>
  <Override PartName="/word/media/rId47.png" ContentType="image/png"/>
  <Override PartName="/word/media/rId185.png" ContentType="image/png"/>
  <Override PartName="/word/media/rId180.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w:t>
      </w:r>
      <w:r>
        <w:t xml:space="preserve"> </w:t>
      </w:r>
      <w:r>
        <w:t xml:space="preserve">paper</w:t>
      </w:r>
      <w:r>
        <w:t xml:space="preserve"> </w:t>
      </w:r>
      <w:r>
        <w:t xml:space="preserve">for</w:t>
      </w:r>
      <w:r>
        <w:t xml:space="preserve"> </w:t>
      </w:r>
      <w:r>
        <w:t xml:space="preserve">CIE</w:t>
      </w:r>
      <w:r>
        <w:t xml:space="preserve"> </w:t>
      </w:r>
      <w:r>
        <w:t xml:space="preserve">review</w:t>
      </w:r>
      <w:r>
        <w:t xml:space="preserve"> </w:t>
      </w:r>
      <w:r>
        <w:t xml:space="preserve">of</w:t>
      </w:r>
      <w:r>
        <w:t xml:space="preserve"> </w:t>
      </w:r>
      <w:r>
        <w:t xml:space="preserve">the</w:t>
      </w:r>
      <w:r>
        <w:t xml:space="preserve"> </w:t>
      </w:r>
      <w:r>
        <w:t xml:space="preserve">eastern</w:t>
      </w:r>
      <w:r>
        <w:t xml:space="preserve"> </w:t>
      </w:r>
      <w:r>
        <w:t xml:space="preserve">Bering</w:t>
      </w:r>
      <w:r>
        <w:t xml:space="preserve"> </w:t>
      </w:r>
      <w:r>
        <w:t xml:space="preserve">Sea</w:t>
      </w:r>
      <w:r>
        <w:t xml:space="preserve"> </w:t>
      </w:r>
      <w:r>
        <w:t xml:space="preserve">walleye</w:t>
      </w:r>
      <w:r>
        <w:t xml:space="preserve"> </w:t>
      </w:r>
      <w:r>
        <w:t xml:space="preserve">pollock</w:t>
      </w:r>
      <w:r>
        <w:t xml:space="preserve"> </w:t>
      </w:r>
      <w:r>
        <w:t xml:space="preserve">stock</w:t>
      </w:r>
      <w:r>
        <w:t xml:space="preserve"> </w:t>
      </w:r>
      <w:r>
        <w:t xml:space="preserve">assessment</w:t>
      </w:r>
    </w:p>
    <w:p>
      <w:pPr>
        <w:pStyle w:val="Subtitle"/>
      </w:pPr>
      <w:r>
        <w:t xml:space="preserve">May</w:t>
      </w:r>
      <w:r>
        <w:t xml:space="preserve"> </w:t>
      </w:r>
      <w:r>
        <w:t xml:space="preserve">2025,</w:t>
      </w:r>
      <w:r>
        <w:t xml:space="preserve"> </w:t>
      </w:r>
      <w:r>
        <w:t xml:space="preserve">CIE</w:t>
      </w:r>
      <w:r>
        <w:t xml:space="preserve"> </w:t>
      </w:r>
      <w:r>
        <w:t xml:space="preserve">review</w:t>
      </w:r>
    </w:p>
    <w:p>
      <w:pPr>
        <w:pStyle w:val="Author"/>
      </w:pPr>
      <w:r>
        <w:t xml:space="preserve">Jim</w:t>
      </w:r>
      <w:r>
        <w:t xml:space="preserve"> </w:t>
      </w:r>
      <w:r>
        <w:t xml:space="preserve">Ianelli,</w:t>
      </w:r>
      <w:r>
        <w:t xml:space="preserve"> </w:t>
      </w:r>
      <w:r>
        <w:t xml:space="preserve">Carey</w:t>
      </w:r>
      <w:r>
        <w:t xml:space="preserve"> </w:t>
      </w:r>
      <w:r>
        <w:t xml:space="preserve">McGilliard,</w:t>
      </w:r>
      <w:r>
        <w:t xml:space="preserve"> </w:t>
      </w:r>
      <w:r>
        <w:t xml:space="preserve">Sophia</w:t>
      </w:r>
      <w:r>
        <w:t xml:space="preserve"> </w:t>
      </w:r>
      <w:r>
        <w:t xml:space="preserve">Wassermann</w:t>
      </w:r>
    </w:p>
    <w:p>
      <w:pPr>
        <w:pStyle w:val="Date"/>
      </w:pPr>
      <w:r>
        <w:t xml:space="preserve">2025-05-01</w:t>
      </w:r>
      <w:r>
        <w:t xml:space="preserve"> </w:t>
      </w:r>
      <w:r>
        <w:t xml:space="preserve">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downweight all Acoustic Trawl Survey (ATS) data (age 1 survey index, age 2+ survey biomass index, and age composition data), (2) downweight the ATS age composition data, (3) downweight the Acoustic Vessels of Opportunity (AVO) data (survey biomass index), (4) downweight all Eastern Bering Sea Trawl Survey (BTS) data (age 1+ survey biomass index and age composition data), (5) downweight the BTS age composition data, and (6) downweight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 composition data and downweighting all BTS data) led to changes in trends over time in estimated spawning biomass</w:t>
      </w:r>
      <w:r>
        <w:t xml:space="preserve"> </w:t>
      </w:r>
      <w:hyperlink w:anchor="fig-loo-ssb">
        <w:r>
          <w:rPr>
            <w:rStyle w:val="Hyperlink"/>
          </w:rPr>
          <w:t xml:space="preserve">Figure 12</w:t>
        </w:r>
      </w:hyperlink>
      <w:r>
        <w:t xml:space="preserve"> </w:t>
      </w:r>
      <w:r>
        <w:t xml:space="preserve">. The model estimates of recruitment were</w:t>
      </w:r>
      <w:r>
        <w:t xml:space="preserve"> </w:t>
      </w:r>
      <w:r>
        <w:t xml:space="preserve">variable across sensitivity runs, but estimates differed the most from the 2024 accepted model when all BTS data were downweighted</w:t>
      </w:r>
      <w:r>
        <w:t xml:space="preserve"> </w:t>
      </w:r>
      <w:hyperlink w:anchor="fig-loo-recruitment">
        <w:r>
          <w:rPr>
            <w:rStyle w:val="Hyperlink"/>
          </w:rPr>
          <w:t xml:space="preserve">Figure 13</w:t>
        </w:r>
      </w:hyperlink>
      <w:r>
        <w:t xml:space="preserve">. Estimates of BTS survey biomass fit the BTS data very poorly in most years when the BTS data were downweighted (</w:t>
      </w:r>
      <w:hyperlink w:anchor="fig-loo-bts-index">
        <w:r>
          <w:rPr>
            <w:rStyle w:val="Hyperlink"/>
          </w:rPr>
          <w:t xml:space="preserve">Figure 14</w:t>
        </w:r>
      </w:hyperlink>
      <w:r>
        <w:t xml:space="preserve">). Additionally, the fits to the BTS survey biomass were affected by downweighting the BTS age composition data (without downweighting the BTS survey index). The model was relatively insensitive to other data being excluded, and fits to the ATS and 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 error (RMSE) in</w:t>
      </w:r>
      <w:r>
        <w:t xml:space="preserve"> </w:t>
      </w:r>
      <w:hyperlink w:anchor="tbl-loo_fits">
        <w:r>
          <w:rPr>
            <w:rStyle w:val="Hyperlink"/>
          </w:rPr>
          <w:t xml:space="preserve">Table 5</w:t>
        </w:r>
      </w:hyperlink>
      <w:r>
        <w:t xml:space="preserve"> </w:t>
      </w:r>
      <w:r>
        <w:t xml:space="preserve">for the model run that downweighted all BTS data was large and the and effective sample size (Eff. N) was low as compared to the 2024 accepted model. Additionally, downweighting solely the BTS age composition data led to low effective sample size for the BTS.</w:t>
      </w:r>
    </w:p>
    <w:p>
      <w:pPr>
        <w:pStyle w:val="BodyText"/>
      </w:pPr>
      <w:r>
        <w:t xml:space="preserve">The importance of the survey data can be seen in some of the reference calculations where the uncertainty increases dramatically and the stock-status perception was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2" w:name="Xdb4cb1adeef9cbf249dd39d9adca18df2350255"/>
    <w:p>
      <w:pPr>
        <w:pStyle w:val="Heading1"/>
      </w:pPr>
      <w:r>
        <w:t xml:space="preserve">Incorporating multi-species M-at-age and year estimates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w:t>
      </w:r>
      <w:r>
        <w:t xml:space="preserve"> </w:t>
      </w:r>
      <w:r>
        <w:t xml:space="preserve">The current assessment has an option to include the 2024 CEATTLE estimates of natural</w:t>
      </w:r>
      <w:r>
        <w:t xml:space="preserve"> </w:t>
      </w:r>
      <w:r>
        <w:t xml:space="preserve">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w:t>
      </w:r>
    </w:p>
    <w:p>
      <w:pPr>
        <w:pStyle w:val="BodyText"/>
      </w:pPr>
      <w:r>
        <w:t xml:space="preserve">recruitment (</w:t>
      </w:r>
      <w:hyperlink w:anchor="fig-Mmat-recruitment">
        <w:r>
          <w:rPr>
            <w:rStyle w:val="Hyperlink"/>
          </w:rPr>
          <w:t xml:space="preserve">Figure 18</w:t>
        </w:r>
      </w:hyperlink>
      <w:r>
        <w:t xml:space="preserve">) lower spawning biomass in the near term (</w:t>
      </w:r>
      <w:hyperlink w:anchor="fig-Mmat-ssb">
        <w:r>
          <w:rPr>
            <w:rStyle w:val="Hyperlink"/>
          </w:rPr>
          <w:t xml:space="preserve">Figure 19</w:t>
        </w:r>
      </w:hyperlink>
      <w:r>
        <w:t xml:space="preserve">).</w:t>
      </w:r>
      <w:r>
        <w:t xml:space="preserve"> </w:t>
      </w:r>
      <w:r>
        <w:t xml:space="preserve">This is due to the higher natural mortality for most ages and years compared</w:t>
      </w:r>
      <w:r>
        <w:t xml:space="preserve"> </w:t>
      </w:r>
      <w:r>
        <w:t xml:space="preserve">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4620126" cy="3696101"/>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4620126" cy="3696101"/>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4620126" cy="3696101"/>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tbl>
      <w:tblPr>
        <w:tblStyle w:val="Table"/>
        <w:tblW w:type="pct" w:w="5000"/>
        <w:tblLayout w:type="fixed"/>
        <w:tblLook w:firstRow="0" w:lastRow="0" w:firstColumn="0" w:lastColumn="0" w:noHBand="0" w:noVBand="0" w:val="0000"/>
      </w:tblPr>
      <w:tblGrid>
        <w:gridCol w:w="7920"/>
      </w:tblGrid>
      <w:tr>
        <w:tc>
          <w:tcPr/>
          <w:bookmarkStart w:id="110" w:name="tbl-Mmat_fits"/>
          <w:p>
            <w:pPr>
              <w:jc w:val="center"/>
            </w:pPr>
            <w:pPr>
              <w:jc w:val="start"/>
              <w:spacing w:before="200"/>
              <w:pStyle w:val="ImageCaption"/>
            </w:pPr>
            <w:r>
              <w:t xml:space="preserve">Table 8: Goodness-of-fit measures to primary data for model sensitivity to applying the matrix of M-at-age and year instead of constant M-at-age.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Use CEATTLE 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r>
          </w:tbl>
          <w:bookmarkEnd w:id="110"/>
        </w:tc>
      </w:tr>
    </w:tbl>
    <w:tbl>
      <w:tblPr>
        <w:tblStyle w:val="Table"/>
        <w:tblW w:type="pct" w:w="5000"/>
        <w:tblLayout w:type="fixed"/>
        <w:tblLook w:firstRow="0" w:lastRow="0" w:firstColumn="0" w:lastColumn="0" w:noHBand="0" w:noVBand="0" w:val="0000"/>
      </w:tblPr>
      <w:tblGrid>
        <w:gridCol w:w="7920"/>
      </w:tblGrid>
      <w:tr>
        <w:tc>
          <w:tcPr/>
          <w:bookmarkStart w:id="111" w:name="tbl-Mmat_ref"/>
          <w:p>
            <w:pPr>
              <w:jc w:val="center"/>
            </w:pPr>
            <w:pPr>
              <w:jc w:val="start"/>
              <w:spacing w:before="200"/>
              <w:pStyle w:val="ImageCaption"/>
            </w:pPr>
            <w:r>
              <w:t xml:space="preserve">Table 9: Estimated derived quantities and selected corresponding CVs for sensitivity to natural mortality specification.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Use CEATTLE 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r>
          </w:tbl>
          <w:bookmarkEnd w:id="111"/>
        </w:tc>
      </w:tr>
    </w:tbl>
    <w:bookmarkEnd w:id="112"/>
    <w:bookmarkStart w:id="179" w:name="alternative-assessment-software"/>
    <w:p>
      <w:pPr>
        <w:pStyle w:val="Heading1"/>
      </w:pPr>
      <w:r>
        <w:t xml:space="preserve">Alternative assessment software</w:t>
      </w:r>
    </w:p>
    <w:bookmarkStart w:id="137"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20</w:t>
        </w:r>
      </w:hyperlink>
      <w:r>
        <w:t xml:space="preserve">). These showed the impact on the uncertainty and stock trends</w:t>
      </w:r>
      <w:r>
        <w:t xml:space="preserve"> </w:t>
      </w:r>
      <w:r>
        <w:t xml:space="preserve">(</w:t>
      </w:r>
      <w:hyperlink w:anchor="fig-synts-1">
        <w:r>
          <w:rPr>
            <w:rStyle w:val="Hyperlink"/>
          </w:rPr>
          <w:t xml:space="preserve">Figure 21</w:t>
        </w:r>
      </w:hyperlink>
      <w:r>
        <w:t xml:space="preserve"> </w:t>
      </w:r>
      <w:r>
        <w:t xml:space="preserve">for SSB and</w:t>
      </w:r>
      <w:r>
        <w:t xml:space="preserve"> </w:t>
      </w:r>
      <w:hyperlink w:anchor="fig-synts-2">
        <w:r>
          <w:rPr>
            <w:rStyle w:val="Hyperlink"/>
          </w:rPr>
          <w:t xml:space="preserve">Figure 22</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16" w:name="fig-ss3"/>
          <w:p>
            <w:pPr>
              <w:pStyle w:val="Compact"/>
              <w:jc w:val="center"/>
            </w:pPr>
            <w:r>
              <w:drawing>
                <wp:inline>
                  <wp:extent cx="4620126" cy="3696101"/>
                  <wp:effectExtent b="0" l="0" r="0" t="0"/>
                  <wp:docPr descr="" title="" id="114" name="Picture"/>
                  <a:graphic>
                    <a:graphicData uri="http://schemas.openxmlformats.org/drawingml/2006/picture">
                      <pic:pic>
                        <pic:nvPicPr>
                          <pic:cNvPr descr="CIE_files/figure-docx/fig-ss3-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three different SS3 model configurations. The models are the base model (Base), the constrained model (Constrained), and the flexible model (Flexible).</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synts-1"/>
          <w:p>
            <w:pPr>
              <w:pStyle w:val="Compact"/>
              <w:jc w:val="center"/>
            </w:pPr>
            <w:r>
              <w:drawing>
                <wp:inline>
                  <wp:extent cx="4620126" cy="3696101"/>
                  <wp:effectExtent b="0" l="0" r="0" t="0"/>
                  <wp:docPr descr="" title="" id="118" name="Picture"/>
                  <a:graphic>
                    <a:graphicData uri="http://schemas.openxmlformats.org/drawingml/2006/picture">
                      <pic:pic>
                        <pic:nvPicPr>
                          <pic:cNvPr descr="CIE_files/figure-docx/fig-synts-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time-series for three different SS3 model configurations. The models are the base model (Base), the constrained model (Constrained), and the flexible model (Flexible).</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ynts-2"/>
          <w:p>
            <w:pPr>
              <w:pStyle w:val="Compact"/>
              <w:jc w:val="center"/>
            </w:pPr>
            <w:r>
              <w:drawing>
                <wp:inline>
                  <wp:extent cx="4620126" cy="3696101"/>
                  <wp:effectExtent b="0" l="0" r="0" t="0"/>
                  <wp:docPr descr="" title="" id="122" name="Picture"/>
                  <a:graphic>
                    <a:graphicData uri="http://schemas.openxmlformats.org/drawingml/2006/picture">
                      <pic:pic>
                        <pic:nvPicPr>
                          <pic:cNvPr descr="CIE_files/figure-docx/fig-synts-2.png" id="123" name="Picture"/>
                          <pic:cNvPicPr>
                            <a:picLocks noChangeArrowheads="1" noChangeAspect="1"/>
                          </pic:cNvPicPr>
                        </pic:nvPicPr>
                        <pic:blipFill>
                          <a:blip r:embed="rId1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4"/>
        </w:tc>
      </w:tr>
    </w:tbl>
    <w:p>
      <w:pPr>
        <w:pStyle w:val="BodyText"/>
      </w:pPr>
      <w:r>
        <w:t xml:space="preserve">Comparing the</w:t>
      </w:r>
      <w:r>
        <w:t xml:space="preserve"> </w:t>
      </w:r>
      <w:r>
        <w:t xml:space="preserve">“</w:t>
      </w:r>
      <w:r>
        <w:t xml:space="preserve">base</w:t>
      </w:r>
      <w:r>
        <w:t xml:space="preserv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23</w:t>
        </w:r>
      </w:hyperlink>
      <w:r>
        <w:t xml:space="preserve">) but slight differences in SSB and recruitment estimates</w:t>
      </w:r>
      <w:r>
        <w:t xml:space="preserve"> </w:t>
      </w:r>
      <w:r>
        <w:t xml:space="preserve">(</w:t>
      </w:r>
      <w:hyperlink w:anchor="fig-pmvss3-1">
        <w:r>
          <w:rPr>
            <w:rStyle w:val="Hyperlink"/>
          </w:rPr>
          <w:t xml:space="preserve">Figure 24</w:t>
        </w:r>
      </w:hyperlink>
      <w:r>
        <w:t xml:space="preserve"> </w:t>
      </w:r>
      <w:r>
        <w:t xml:space="preserve">and</w:t>
      </w:r>
      <w:r>
        <w:t xml:space="preserve"> </w:t>
      </w:r>
      <w:hyperlink w:anchor="fig-pmvss3-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8" w:name="fig-ss3vpmsel"/>
          <w:p>
            <w:pPr>
              <w:pStyle w:val="Compact"/>
              <w:jc w:val="center"/>
            </w:pPr>
            <w:r>
              <w:drawing>
                <wp:inline>
                  <wp:extent cx="4620126" cy="3696101"/>
                  <wp:effectExtent b="0" l="0" r="0" t="0"/>
                  <wp:docPr descr="" title="" id="126" name="Picture"/>
                  <a:graphic>
                    <a:graphicData uri="http://schemas.openxmlformats.org/drawingml/2006/picture">
                      <pic:pic>
                        <pic:nvPicPr>
                          <pic:cNvPr descr="CIE_files/figure-docx/fig-ss3vpmsel-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selectivity estimates between the base SS3 model configuration and the pollock model accepted in 2024.</w:t>
            </w:r>
          </w:p>
          <w:bookmarkEnd w:id="128"/>
        </w:tc>
      </w:tr>
    </w:tbl>
    <w:tbl>
      <w:tblPr>
        <w:tblStyle w:val="Table"/>
        <w:tblW w:type="pct" w:w="5000"/>
        <w:tblLayout w:type="fixed"/>
        <w:tblLook w:firstRow="0" w:lastRow="0" w:firstColumn="0" w:lastColumn="0" w:noHBand="0" w:noVBand="0" w:val="0000"/>
      </w:tblPr>
      <w:tblGrid>
        <w:gridCol w:w="7920"/>
      </w:tblGrid>
      <w:tr>
        <w:tc>
          <w:tcPr/>
          <w:bookmarkStart w:id="132" w:name="fig-pmvss3-1"/>
          <w:p>
            <w:pPr>
              <w:pStyle w:val="Compact"/>
              <w:jc w:val="center"/>
            </w:pPr>
            <w:r>
              <w:drawing>
                <wp:inline>
                  <wp:extent cx="4620126" cy="3696101"/>
                  <wp:effectExtent b="0" l="0" r="0" t="0"/>
                  <wp:docPr descr="" title="" id="130" name="Picture"/>
                  <a:graphic>
                    <a:graphicData uri="http://schemas.openxmlformats.org/drawingml/2006/picture">
                      <pic:pic>
                        <pic:nvPicPr>
                          <pic:cNvPr descr="CIE_files/figure-docx/fig-pmvss3-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the base SS3 model configuration with the model used for pollock in 2024.</w:t>
            </w:r>
          </w:p>
          <w:bookmarkEnd w:id="132"/>
        </w:tc>
      </w:tr>
    </w:tbl>
    <w:tbl>
      <w:tblPr>
        <w:tblStyle w:val="Table"/>
        <w:tblW w:type="pct" w:w="5000"/>
        <w:tblLayout w:type="fixed"/>
        <w:tblLook w:firstRow="0" w:lastRow="0" w:firstColumn="0" w:lastColumn="0" w:noHBand="0" w:noVBand="0" w:val="0000"/>
      </w:tblPr>
      <w:tblGrid>
        <w:gridCol w:w="7920"/>
      </w:tblGrid>
      <w:tr>
        <w:tc>
          <w:tcPr/>
          <w:bookmarkStart w:id="136" w:name="fig-pmvss3-2"/>
          <w:p>
            <w:pPr>
              <w:pStyle w:val="Compact"/>
              <w:jc w:val="center"/>
            </w:pPr>
            <w:r>
              <w:drawing>
                <wp:inline>
                  <wp:extent cx="4620126" cy="3696101"/>
                  <wp:effectExtent b="0" l="0" r="0" t="0"/>
                  <wp:docPr descr="" title="" id="134" name="Picture"/>
                  <a:graphic>
                    <a:graphicData uri="http://schemas.openxmlformats.org/drawingml/2006/picture">
                      <pic:pic>
                        <pic:nvPicPr>
                          <pic:cNvPr descr="CIE_files/figure-docx/fig-pmvss3-2.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6"/>
        </w:tc>
      </w:tr>
    </w:tbl>
    <w:bookmarkEnd w:id="137"/>
    <w:bookmarkStart w:id="151"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38">
        <w:r>
          <w:rPr>
            <w:rStyle w:val="Hyperlink"/>
          </w:rPr>
          <w:t xml:space="preserve">here</w:t>
        </w:r>
      </w:hyperlink>
      <w:r>
        <w:t xml:space="preserve">).</w:t>
      </w:r>
      <w:r>
        <w:t xml:space="preserve"> </w:t>
      </w:r>
      <w:r>
        <w:t xml:space="preserve">Comparing</w:t>
      </w:r>
      <w:r>
        <w:t xml:space="preserve"> </w:t>
      </w:r>
      <w:r>
        <w:t xml:space="preserve">“</w:t>
      </w:r>
      <w:r>
        <w:t xml:space="preserve">selectivity</w:t>
      </w:r>
      <w:r>
        <w:t xml:space="preserve">”</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2" w:name="fig-sam"/>
          <w:p>
            <w:pPr>
              <w:pStyle w:val="Compact"/>
              <w:jc w:val="center"/>
            </w:pPr>
            <w:r>
              <w:drawing>
                <wp:inline>
                  <wp:extent cx="4620126" cy="3696101"/>
                  <wp:effectExtent b="0" l="0" r="0" t="0"/>
                  <wp:docPr descr="" title="" id="140" name="Picture"/>
                  <a:graphic>
                    <a:graphicData uri="http://schemas.openxmlformats.org/drawingml/2006/picture">
                      <pic:pic>
                        <pic:nvPicPr>
                          <pic:cNvPr descr="CIE_files/figure-docx/fig-sam-1.png" id="141" name="Picture"/>
                          <pic:cNvPicPr>
                            <a:picLocks noChangeArrowheads="1" noChangeAspect="1"/>
                          </pic:cNvPicPr>
                        </pic:nvPicPr>
                        <pic:blipFill>
                          <a:blip r:embed="rId13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SAM model.</w:t>
            </w:r>
          </w:p>
          <w:bookmarkEnd w:id="142"/>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27</w:t>
        </w:r>
      </w:hyperlink>
      <w:r>
        <w:t xml:space="preserve">). The recruitment estimates are similar as well</w:t>
      </w:r>
      <w:r>
        <w:t xml:space="preserve"> </w:t>
      </w:r>
      <w:r>
        <w:t xml:space="preserve">(</w:t>
      </w:r>
      <w:hyperlink w:anchor="fig-samts-2">
        <w:r>
          <w:rPr>
            <w:rStyle w:val="Hyperlink"/>
          </w:rPr>
          <w:t xml:space="preserve">Figure 28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samts-1"/>
          <w:p>
            <w:pPr>
              <w:pStyle w:val="Compact"/>
              <w:jc w:val="center"/>
            </w:pPr>
            <w:r>
              <w:drawing>
                <wp:inline>
                  <wp:extent cx="4620126" cy="3696101"/>
                  <wp:effectExtent b="0" l="0" r="0" t="0"/>
                  <wp:docPr descr="" title="" id="144" name="Picture"/>
                  <a:graphic>
                    <a:graphicData uri="http://schemas.openxmlformats.org/drawingml/2006/picture">
                      <pic:pic>
                        <pic:nvPicPr>
                          <pic:cNvPr descr="CIE_files/figure-docx/fig-samts-1.png" id="145" name="Picture"/>
                          <pic:cNvPicPr>
                            <a:picLocks noChangeArrowheads="1" noChangeAspect="1"/>
                          </pic:cNvPicPr>
                        </pic:nvPicPr>
                        <pic:blipFill>
                          <a:blip r:embed="rId1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 for spawning biomass (top) and recruitment at age 1 (bottom).</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samts-2"/>
          <w:p>
            <w:pPr>
              <w:pStyle w:val="Compact"/>
              <w:jc w:val="center"/>
            </w:pPr>
            <w:r>
              <w:drawing>
                <wp:inline>
                  <wp:extent cx="4620126" cy="3696101"/>
                  <wp:effectExtent b="0" l="0" r="0" t="0"/>
                  <wp:docPr descr="" title="" id="148" name="Picture"/>
                  <a:graphic>
                    <a:graphicData uri="http://schemas.openxmlformats.org/drawingml/2006/picture">
                      <pic:pic>
                        <pic:nvPicPr>
                          <pic:cNvPr descr="CIE_files/figure-docx/fig-samts-2.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0"/>
        </w:tc>
      </w:tr>
    </w:tbl>
    <w:bookmarkEnd w:id="151"/>
    <w:bookmarkStart w:id="165" w:name="other-models-in-development"/>
    <w:p>
      <w:pPr>
        <w:pStyle w:val="Heading2"/>
      </w:pPr>
      <w:r>
        <w:t xml:space="preserve">Other models in development</w:t>
      </w:r>
    </w:p>
    <w:p>
      <w:pPr>
        <w:pStyle w:val="FirstParagraph"/>
      </w:pPr>
      <w:r>
        <w:t xml:space="preserve">The</w:t>
      </w:r>
      <w:r>
        <w:t xml:space="preserve"> </w:t>
      </w:r>
      <w:r>
        <w:t xml:space="preserve">“</w:t>
      </w:r>
      <w:r>
        <w:t xml:space="preserve">Woods Hole Assessment model</w:t>
      </w:r>
      <w:r>
        <w:t xml:space="preserve">”</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52">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w:t>
      </w:r>
      <w:r>
        <w:t xml:space="preserve">single-species</w:t>
      </w:r>
      <w:r>
        <w:t xml:space="preserve">”</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56" w:name="fig-all"/>
          <w:p>
            <w:pPr>
              <w:pStyle w:val="Compact"/>
              <w:jc w:val="center"/>
            </w:pPr>
            <w:r>
              <w:drawing>
                <wp:inline>
                  <wp:extent cx="4620126" cy="3696101"/>
                  <wp:effectExtent b="0" l="0" r="0" t="0"/>
                  <wp:docPr descr="" title="" id="154" name="Picture"/>
                  <a:graphic>
                    <a:graphicData uri="http://schemas.openxmlformats.org/drawingml/2006/picture">
                      <pic:pic>
                        <pic:nvPicPr>
                          <pic:cNvPr descr="CIE_files/figure-docx/fig-all-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all_ts-1"/>
          <w:p>
            <w:pPr>
              <w:pStyle w:val="Compact"/>
              <w:jc w:val="center"/>
            </w:pPr>
            <w:r>
              <w:drawing>
                <wp:inline>
                  <wp:extent cx="4620126" cy="3696101"/>
                  <wp:effectExtent b="0" l="0" r="0" t="0"/>
                  <wp:docPr descr="" title="" id="158" name="Picture"/>
                  <a:graphic>
                    <a:graphicData uri="http://schemas.openxmlformats.org/drawingml/2006/picture">
                      <pic:pic>
                        <pic:nvPicPr>
                          <pic:cNvPr descr="CIE_files/figure-docx/fig-all_ts-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60"/>
        </w:tc>
      </w:tr>
    </w:tbl>
    <w:tbl>
      <w:tblPr>
        <w:tblStyle w:val="Table"/>
        <w:tblW w:type="pct" w:w="5000"/>
        <w:tblLayout w:type="fixed"/>
        <w:tblLook w:firstRow="0" w:lastRow="0" w:firstColumn="0" w:lastColumn="0" w:noHBand="0" w:noVBand="0" w:val="0000"/>
      </w:tblPr>
      <w:tblGrid>
        <w:gridCol w:w="7920"/>
      </w:tblGrid>
      <w:tr>
        <w:tc>
          <w:tcPr/>
          <w:bookmarkStart w:id="164" w:name="fig-all_ts-2"/>
          <w:p>
            <w:pPr>
              <w:pStyle w:val="Compact"/>
              <w:jc w:val="center"/>
            </w:pPr>
            <w:r>
              <w:drawing>
                <wp:inline>
                  <wp:extent cx="4620126" cy="3696101"/>
                  <wp:effectExtent b="0" l="0" r="0" t="0"/>
                  <wp:docPr descr="" title="" id="162" name="Picture"/>
                  <a:graphic>
                    <a:graphicData uri="http://schemas.openxmlformats.org/drawingml/2006/picture">
                      <pic:pic>
                        <pic:nvPicPr>
                          <pic:cNvPr descr="CIE_files/figure-docx/fig-all_ts-2.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Rceattle model.</w:t>
            </w:r>
          </w:p>
          <w:bookmarkEnd w:id="164"/>
        </w:tc>
      </w:tr>
    </w:tbl>
    <w:bookmarkEnd w:id="165"/>
    <w:bookmarkStart w:id="178"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32</w:t>
        </w:r>
      </w:hyperlink>
      <w:r>
        <w:t xml:space="preserve"> </w:t>
      </w:r>
      <w:r>
        <w:t xml:space="preserve">shows the model results comparing time-varying selectivity whereas</w:t>
      </w:r>
      <w:r>
        <w:t xml:space="preserve"> </w:t>
      </w:r>
      <w:hyperlink w:anchor="fig-spock_ts-1">
        <w:r>
          <w:rPr>
            <w:rStyle w:val="Hyperlink"/>
          </w:rPr>
          <w:t xml:space="preserve">Figure 33</w:t>
        </w:r>
      </w:hyperlink>
      <w:r>
        <w:t xml:space="preserve"> </w:t>
      </w:r>
      <w:r>
        <w:t xml:space="preserve">shows the model results time series. The difference in the age-1 recruits (</w:t>
      </w:r>
      <w:hyperlink w:anchor="fig-spock_ts-2">
        <w:r>
          <w:rPr>
            <w:rStyle w:val="Hyperlink"/>
          </w:rPr>
          <w:t xml:space="preserve">Figure 34</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9" w:name="fig-spock_sel"/>
          <w:p>
            <w:pPr>
              <w:pStyle w:val="Compact"/>
              <w:jc w:val="center"/>
            </w:pPr>
            <w:r>
              <w:drawing>
                <wp:inline>
                  <wp:extent cx="4620126" cy="3696101"/>
                  <wp:effectExtent b="0" l="0" r="0" t="0"/>
                  <wp:docPr descr="" title="" id="167" name="Picture"/>
                  <a:graphic>
                    <a:graphicData uri="http://schemas.openxmlformats.org/drawingml/2006/picture">
                      <pic:pic>
                        <pic:nvPicPr>
                          <pic:cNvPr descr="CIE_files/figure-docx/fig-spock_sel-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9"/>
        </w:tc>
      </w:tr>
    </w:tbl>
    <w:tbl>
      <w:tblPr>
        <w:tblStyle w:val="Table"/>
        <w:tblW w:type="pct" w:w="5000"/>
        <w:tblLayout w:type="fixed"/>
        <w:tblLook w:firstRow="0" w:lastRow="0" w:firstColumn="0" w:lastColumn="0" w:noHBand="0" w:noVBand="0" w:val="0000"/>
      </w:tblPr>
      <w:tblGrid>
        <w:gridCol w:w="7920"/>
      </w:tblGrid>
      <w:tr>
        <w:tc>
          <w:tcPr/>
          <w:bookmarkStart w:id="173" w:name="fig-spock_ts-1"/>
          <w:p>
            <w:pPr>
              <w:pStyle w:val="Compact"/>
              <w:jc w:val="center"/>
            </w:pPr>
            <w:r>
              <w:drawing>
                <wp:inline>
                  <wp:extent cx="5334000" cy="2667000"/>
                  <wp:effectExtent b="0" l="0" r="0" t="0"/>
                  <wp:docPr descr="" title="" id="171" name="Picture"/>
                  <a:graphic>
                    <a:graphicData uri="http://schemas.openxmlformats.org/drawingml/2006/picture">
                      <pic:pic>
                        <pic:nvPicPr>
                          <pic:cNvPr descr="CIE_files/figure-docx/fig-spock_ts-1.png" id="172" name="Picture"/>
                          <pic:cNvPicPr>
                            <a:picLocks noChangeArrowheads="1" noChangeAspect="1"/>
                          </pic:cNvPicPr>
                        </pic:nvPicPr>
                        <pic:blipFill>
                          <a:blip r:embed="rId17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73"/>
        </w:tc>
      </w:tr>
    </w:tbl>
    <w:tbl>
      <w:tblPr>
        <w:tblStyle w:val="Table"/>
        <w:tblW w:type="pct" w:w="5000"/>
        <w:tblLayout w:type="fixed"/>
        <w:tblLook w:firstRow="0" w:lastRow="0" w:firstColumn="0" w:lastColumn="0" w:noHBand="0" w:noVBand="0" w:val="0000"/>
      </w:tblPr>
      <w:tblGrid>
        <w:gridCol w:w="7920"/>
      </w:tblGrid>
      <w:tr>
        <w:tc>
          <w:tcPr/>
          <w:bookmarkStart w:id="177" w:name="fig-spock_ts-2"/>
          <w:p>
            <w:pPr>
              <w:pStyle w:val="Compact"/>
              <w:jc w:val="center"/>
            </w:pPr>
            <w:r>
              <w:drawing>
                <wp:inline>
                  <wp:extent cx="5334000" cy="2667000"/>
                  <wp:effectExtent b="0" l="0" r="0" t="0"/>
                  <wp:docPr descr="" title="" id="175" name="Picture"/>
                  <a:graphic>
                    <a:graphicData uri="http://schemas.openxmlformats.org/drawingml/2006/picture">
                      <pic:pic>
                        <pic:nvPicPr>
                          <pic:cNvPr descr="CIE_files/figure-docx/fig-spock_ts-2.png" id="176" name="Picture"/>
                          <pic:cNvPicPr>
                            <a:picLocks noChangeArrowheads="1" noChangeAspect="1"/>
                          </pic:cNvPicPr>
                        </pic:nvPicPr>
                        <pic:blipFill>
                          <a:blip r:embed="rId1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SPock model.</w:t>
            </w:r>
          </w:p>
          <w:bookmarkEnd w:id="177"/>
        </w:tc>
      </w:tr>
    </w:tbl>
    <w:bookmarkEnd w:id="178"/>
    <w:bookmarkEnd w:id="179"/>
    <w:bookmarkStart w:id="190" w:name="X2ca98e5c32d63d527c2188348bd8baaabbd45e2"/>
    <w:p>
      <w:pPr>
        <w:pStyle w:val="Heading1"/>
      </w:pPr>
      <w:r>
        <w:t xml:space="preserve">Bottom-trawl survey spatial distribution modeling</w:t>
      </w:r>
    </w:p>
    <w:bookmarkStart w:id="184"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w:t>
      </w:r>
      <w:r>
        <w:t xml:space="preserve">knots</w:t>
      </w:r>
      <w:r>
        <w:t xml:space="preserve">”</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3" w:name="fig-sdm_index"/>
          <w:p>
            <w:pPr>
              <w:pStyle w:val="Compact"/>
              <w:jc w:val="center"/>
            </w:pPr>
            <w:r>
              <w:drawing>
                <wp:inline>
                  <wp:extent cx="5334000" cy="3578794"/>
                  <wp:effectExtent b="0" l="0" r="0" t="0"/>
                  <wp:docPr descr="" title="" id="181" name="Picture"/>
                  <a:graphic>
                    <a:graphicData uri="http://schemas.openxmlformats.org/drawingml/2006/picture">
                      <pic:pic>
                        <pic:nvPicPr>
                          <pic:cNvPr descr="figs/Vast_index_updated.png" id="182" name="Picture"/>
                          <pic:cNvPicPr>
                            <a:picLocks noChangeArrowheads="1" noChangeAspect="1"/>
                          </pic:cNvPicPr>
                        </pic:nvPicPr>
                        <pic:blipFill>
                          <a:blip r:embed="rId180"/>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revised sdmTMB model.</w:t>
            </w:r>
          </w:p>
          <w:bookmarkEnd w:id="183"/>
        </w:tc>
      </w:tr>
    </w:tbl>
    <w:bookmarkEnd w:id="184"/>
    <w:bookmarkStart w:id="189"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w:t>
      </w:r>
      <w:r>
        <w:t xml:space="preserve">knots</w:t>
      </w:r>
      <w:r>
        <w:t xml:space="preserve">”</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36</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88" w:name="fig-sdm_age"/>
          <w:p>
            <w:pPr>
              <w:pStyle w:val="Compact"/>
              <w:jc w:val="center"/>
            </w:pPr>
            <w:r>
              <w:drawing>
                <wp:inline>
                  <wp:extent cx="5334000" cy="4798793"/>
                  <wp:effectExtent b="0" l="0" r="0" t="0"/>
                  <wp:docPr descr="" title="" id="186" name="Picture"/>
                  <a:graphic>
                    <a:graphicData uri="http://schemas.openxmlformats.org/drawingml/2006/picture">
                      <pic:pic>
                        <pic:nvPicPr>
                          <pic:cNvPr descr="figs/VAST_Age_Compare.png" id="187" name="Picture"/>
                          <pic:cNvPicPr>
                            <a:picLocks noChangeArrowheads="1" noChangeAspect="1"/>
                          </pic:cNvPicPr>
                        </pic:nvPicPr>
                        <pic:blipFill>
                          <a:blip r:embed="rId185"/>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revised sdmTMB model.</w:t>
            </w:r>
          </w:p>
          <w:bookmarkEnd w:id="188"/>
        </w:tc>
      </w:tr>
    </w:tbl>
    <w:bookmarkEnd w:id="189"/>
    <w:bookmarkEnd w:id="190"/>
    <w:bookmarkStart w:id="233" w:name="references"/>
    <w:p>
      <w:pPr>
        <w:pStyle w:val="Heading1"/>
      </w:pPr>
      <w:r>
        <w:t xml:space="preserve">References</w:t>
      </w:r>
    </w:p>
    <w:bookmarkStart w:id="232" w:name="refs"/>
    <w:bookmarkStart w:id="192"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91">
        <w:r>
          <w:rPr>
            <w:rStyle w:val="Hyperlink"/>
          </w:rPr>
          <w:t xml:space="preserve">https://doi.org/10.1016/j.fishres.2022.106303</w:t>
        </w:r>
      </w:hyperlink>
      <w:r>
        <w:t xml:space="preserve">.</w:t>
      </w:r>
    </w:p>
    <w:bookmarkEnd w:id="192"/>
    <w:bookmarkStart w:id="194"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93">
        <w:r>
          <w:rPr>
            <w:rStyle w:val="Hyperlink"/>
          </w:rPr>
          <w:t xml:space="preserve">https://doi.org/10.1101/2022.03.24.485545</w:t>
        </w:r>
      </w:hyperlink>
      <w:r>
        <w:t xml:space="preserve">.</w:t>
      </w:r>
    </w:p>
    <w:bookmarkEnd w:id="194"/>
    <w:bookmarkStart w:id="195"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95"/>
    <w:bookmarkStart w:id="197"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96">
        <w:r>
          <w:rPr>
            <w:rStyle w:val="Hyperlink"/>
          </w:rPr>
          <w:t xml:space="preserve">https://doi.org/10.1111/faf.12891</w:t>
        </w:r>
      </w:hyperlink>
      <w:r>
        <w:t xml:space="preserve">.</w:t>
      </w:r>
    </w:p>
    <w:bookmarkEnd w:id="197"/>
    <w:bookmarkStart w:id="199"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8">
        <w:r>
          <w:rPr>
            <w:rStyle w:val="Hyperlink"/>
          </w:rPr>
          <w:t xml:space="preserve">https://doi.org/10.1080/10618600.1996.10474708</w:t>
        </w:r>
      </w:hyperlink>
      <w:r>
        <w:t xml:space="preserve">.</w:t>
      </w:r>
    </w:p>
    <w:bookmarkEnd w:id="199"/>
    <w:bookmarkStart w:id="200"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00"/>
    <w:bookmarkStart w:id="202"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01">
        <w:r>
          <w:rPr>
            <w:rStyle w:val="Hyperlink"/>
          </w:rPr>
          <w:t xml:space="preserve">http://florianhartig.github.io/DHARMa/</w:t>
        </w:r>
      </w:hyperlink>
      <w:r>
        <w:t xml:space="preserve">.</w:t>
      </w:r>
    </w:p>
    <w:bookmarkEnd w:id="202"/>
    <w:bookmarkStart w:id="204"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03">
        <w:r>
          <w:rPr>
            <w:rStyle w:val="Hyperlink"/>
          </w:rPr>
          <w:t xml:space="preserve">https://doi.org/10.1139/cjfas-2018-0112</w:t>
        </w:r>
      </w:hyperlink>
      <w:r>
        <w:t xml:space="preserve">.</w:t>
      </w:r>
    </w:p>
    <w:bookmarkEnd w:id="204"/>
    <w:bookmarkStart w:id="206"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05">
        <w:r>
          <w:rPr>
            <w:rStyle w:val="Hyperlink"/>
          </w:rPr>
          <w:t xml:space="preserve">https://www.npfmc.org/wp-content/PDFdocuments/SAFE/2024/EBSmultispp.pdf</w:t>
        </w:r>
      </w:hyperlink>
      <w:r>
        <w:t xml:space="preserve">.</w:t>
      </w:r>
    </w:p>
    <w:bookmarkEnd w:id="206"/>
    <w:bookmarkStart w:id="208"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07">
        <w:r>
          <w:rPr>
            <w:rStyle w:val="Hyperlink"/>
          </w:rPr>
          <w:t xml:space="preserve">http://afsc-assessments.github.io/EBSpollock/</w:t>
        </w:r>
      </w:hyperlink>
      <w:r>
        <w:t xml:space="preserve">.</w:t>
      </w:r>
    </w:p>
    <w:bookmarkEnd w:id="208"/>
    <w:bookmarkStart w:id="209"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9"/>
    <w:bookmarkStart w:id="211"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10">
        <w:r>
          <w:rPr>
            <w:rStyle w:val="Hyperlink"/>
          </w:rPr>
          <w:t xml:space="preserve">https://doi.org/10.1016/j.fishres.2012.10.012</w:t>
        </w:r>
      </w:hyperlink>
      <w:r>
        <w:t xml:space="preserve">.</w:t>
      </w:r>
    </w:p>
    <w:bookmarkEnd w:id="211"/>
    <w:bookmarkStart w:id="213"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12">
        <w:r>
          <w:rPr>
            <w:rStyle w:val="Hyperlink"/>
          </w:rPr>
          <w:t xml:space="preserve">https://doi.org/10.1016/j.fishres.2014.01.014</w:t>
        </w:r>
      </w:hyperlink>
      <w:r>
        <w:t xml:space="preserve">.</w:t>
      </w:r>
    </w:p>
    <w:bookmarkEnd w:id="213"/>
    <w:bookmarkStart w:id="215"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14">
        <w:r>
          <w:rPr>
            <w:rStyle w:val="Hyperlink"/>
          </w:rPr>
          <w:t xml:space="preserve">https://doi.org/10.1093/icesjms/fsab078</w:t>
        </w:r>
      </w:hyperlink>
      <w:r>
        <w:t xml:space="preserve">.</w:t>
      </w:r>
    </w:p>
    <w:bookmarkEnd w:id="215"/>
    <w:bookmarkStart w:id="217"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16">
        <w:r>
          <w:rPr>
            <w:rStyle w:val="Hyperlink"/>
          </w:rPr>
          <w:t xml:space="preserve">https://doi.org/10.1111/fog.12494</w:t>
        </w:r>
      </w:hyperlink>
      <w:r>
        <w:t xml:space="preserve">.</w:t>
      </w:r>
    </w:p>
    <w:bookmarkEnd w:id="217"/>
    <w:bookmarkStart w:id="218"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8"/>
    <w:bookmarkStart w:id="220"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9">
        <w:r>
          <w:rPr>
            <w:rStyle w:val="Hyperlink"/>
          </w:rPr>
          <w:t xml:space="preserve">https://doi.org/10.25923/1wwh-q418</w:t>
        </w:r>
      </w:hyperlink>
      <w:r>
        <w:t xml:space="preserve">.</w:t>
      </w:r>
    </w:p>
    <w:bookmarkEnd w:id="220"/>
    <w:bookmarkStart w:id="222"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21">
        <w:r>
          <w:rPr>
            <w:rStyle w:val="Hyperlink"/>
          </w:rPr>
          <w:t xml:space="preserve">https://doi.org/10.1016/j.fishres.2021.105967</w:t>
        </w:r>
      </w:hyperlink>
      <w:r>
        <w:t xml:space="preserve">.</w:t>
      </w:r>
    </w:p>
    <w:bookmarkEnd w:id="222"/>
    <w:bookmarkStart w:id="224"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23">
        <w:r>
          <w:rPr>
            <w:rStyle w:val="Hyperlink"/>
          </w:rPr>
          <w:t xml:space="preserve">https://doi.org/10.1139/cjfas-2017-0266</w:t>
        </w:r>
      </w:hyperlink>
      <w:r>
        <w:t xml:space="preserve">.</w:t>
      </w:r>
    </w:p>
    <w:bookmarkEnd w:id="224"/>
    <w:bookmarkStart w:id="226"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25">
        <w:r>
          <w:rPr>
            <w:rStyle w:val="Hyperlink"/>
          </w:rPr>
          <w:t xml:space="preserve">https://doi.org/10.1002/lno.11238</w:t>
        </w:r>
      </w:hyperlink>
      <w:r>
        <w:t xml:space="preserve">.</w:t>
      </w:r>
    </w:p>
    <w:bookmarkEnd w:id="226"/>
    <w:bookmarkStart w:id="227"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27"/>
    <w:bookmarkStart w:id="229"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8">
        <w:r>
          <w:rPr>
            <w:rStyle w:val="Hyperlink"/>
          </w:rPr>
          <w:t xml:space="preserve">https://doi.org/10.1016/j.fishres.2015.11.016</w:t>
        </w:r>
      </w:hyperlink>
      <w:r>
        <w:t xml:space="preserve">.</w:t>
      </w:r>
    </w:p>
    <w:bookmarkEnd w:id="229"/>
    <w:bookmarkStart w:id="231"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30">
        <w:r>
          <w:rPr>
            <w:rStyle w:val="Hyperlink"/>
          </w:rPr>
          <w:t xml:space="preserve">https://doi.org/10.1111/1365-2664.13515</w:t>
        </w:r>
      </w:hyperlink>
      <w:r>
        <w:t xml:space="preserve">.</w:t>
      </w:r>
    </w:p>
    <w:bookmarkEnd w:id="231"/>
    <w:bookmarkEnd w:id="232"/>
    <w:bookmarkEnd w:id="2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47" Target="media/rId47.png" /><Relationship Type="http://schemas.openxmlformats.org/officeDocument/2006/relationships/image" Id="rId185" Target="media/rId185.png" /><Relationship Type="http://schemas.openxmlformats.org/officeDocument/2006/relationships/image" Id="rId180" Target="media/rId180.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07" Target="http://afsc-assessments.github.io/EBSpollock/" TargetMode="External" /><Relationship Type="http://schemas.openxmlformats.org/officeDocument/2006/relationships/hyperlink" Id="rId20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5" Target="https://doi.org/10.1002/lno.11238" TargetMode="External" /><Relationship Type="http://schemas.openxmlformats.org/officeDocument/2006/relationships/hyperlink" Id="rId210" Target="https://doi.org/10.1016/j.fishres.2012.10.012" TargetMode="External" /><Relationship Type="http://schemas.openxmlformats.org/officeDocument/2006/relationships/hyperlink" Id="rId212" Target="https://doi.org/10.1016/j.fishres.2014.01.014" TargetMode="External" /><Relationship Type="http://schemas.openxmlformats.org/officeDocument/2006/relationships/hyperlink" Id="rId228" Target="https://doi.org/10.1016/j.fishres.2015.11.016" TargetMode="External" /><Relationship Type="http://schemas.openxmlformats.org/officeDocument/2006/relationships/hyperlink" Id="rId221" Target="https://doi.org/10.1016/j.fishres.2021.105967" TargetMode="External" /><Relationship Type="http://schemas.openxmlformats.org/officeDocument/2006/relationships/hyperlink" Id="rId191" Target="https://doi.org/10.1016/j.fishres.2022.106303" TargetMode="External" /><Relationship Type="http://schemas.openxmlformats.org/officeDocument/2006/relationships/hyperlink" Id="rId198" Target="https://doi.org/10.1080/10618600.1996.10474708" TargetMode="External" /><Relationship Type="http://schemas.openxmlformats.org/officeDocument/2006/relationships/hyperlink" Id="rId214" Target="https://doi.org/10.1093/icesjms/fsab078" TargetMode="External" /><Relationship Type="http://schemas.openxmlformats.org/officeDocument/2006/relationships/hyperlink" Id="rId193" Target="https://doi.org/10.1101/2022.03.24.485545" TargetMode="External" /><Relationship Type="http://schemas.openxmlformats.org/officeDocument/2006/relationships/hyperlink" Id="rId230" Target="https://doi.org/10.1111/1365-2664.13515" TargetMode="External" /><Relationship Type="http://schemas.openxmlformats.org/officeDocument/2006/relationships/hyperlink" Id="rId196" Target="https://doi.org/10.1111/faf.12891" TargetMode="External" /><Relationship Type="http://schemas.openxmlformats.org/officeDocument/2006/relationships/hyperlink" Id="rId216" Target="https://doi.org/10.1111/fog.12494" TargetMode="External" /><Relationship Type="http://schemas.openxmlformats.org/officeDocument/2006/relationships/hyperlink" Id="rId223" Target="https://doi.org/10.1139/cjfas-2017-0266" TargetMode="External" /><Relationship Type="http://schemas.openxmlformats.org/officeDocument/2006/relationships/hyperlink" Id="rId203" Target="https://doi.org/10.1139/cjfas-2018-0112" TargetMode="External" /><Relationship Type="http://schemas.openxmlformats.org/officeDocument/2006/relationships/hyperlink" Id="rId219" Target="https://doi.org/10.25923/1wwh-q418" TargetMode="External" /><Relationship Type="http://schemas.openxmlformats.org/officeDocument/2006/relationships/hyperlink" Id="rId138" Target="https://github.com/noaa-afsc/EBS_pollock/tree/main/runs/SAM/poll24" TargetMode="External" /><Relationship Type="http://schemas.openxmlformats.org/officeDocument/2006/relationships/hyperlink" Id="rId152" Target="https://github.com/noaa-afsc/EBS_pollock/tree/main/runs/wham" TargetMode="External" /><Relationship Type="http://schemas.openxmlformats.org/officeDocument/2006/relationships/hyperlink" Id="rId205"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2025-05-16T19:01:49Z</dcterms:created>
  <dcterms:modified xsi:type="dcterms:W3CDTF">2025-05-16T19:01:49Z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