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9.png" ContentType="image/png"/>
  <Override PartName="/word/media/rId153.png" ContentType="image/png"/>
  <Override PartName="/word/media/rId113.png" ContentType="image/png"/>
  <Override PartName="/word/media/rId117.png" ContentType="image/png"/>
  <Override PartName="/word/media/rId137.png" ContentType="image/png"/>
  <Override PartName="/word/media/rId141.png" ContentType="image/png"/>
  <Override PartName="/word/media/rId123.png" ContentType="image/png"/>
  <Override PartName="/word/media/rId127.png" ContentType="image/png"/>
  <Override PartName="/word/media/rId131.png" ContentType="image/png"/>
  <Override PartName="/word/media/rId158.png" ContentType="image/png"/>
  <Override PartName="/word/media/rId162.png" ContentType="image/png"/>
  <Override PartName="/word/media/rId166.png" ContentType="image/png"/>
  <Override PartName="/word/media/rId97.png" ContentType="image/png"/>
  <Override PartName="/word/media/rId109.png" ContentType="image/png"/>
  <Override PartName="/word/media/rId101.png" ContentType="image/png"/>
  <Override PartName="/word/media/rId105.png" ContentType="image/png"/>
  <Override PartName="/word/media/rId47.png" ContentType="image/png"/>
  <Override PartName="/word/media/rId177.png" ContentType="image/png"/>
  <Override PartName="/word/media/rId173.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Sofia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drop all Acoustic Trawl Survey (ATS) data (age 1 survey index, age 2+ survey biomass index, and age composition data), (2) drop the ATS age composition data, (3) drop the Acoustic Vessels of Opportunity (AVO) data (survey biomass index), (4) drop all Eastern Bering Sea Trawl Survey (BTS) data (age 1+ survey biomass index and age composition data), (5) drop the BTS age composition data, and (6) drop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when downweighting the BTS data, the model estimates of spawning</w:t>
      </w:r>
      <w:r>
        <w:t xml:space="preserve"> </w:t>
      </w:r>
      <w:r>
        <w:t xml:space="preserve">biomass changed in trends</w:t>
      </w:r>
      <w:r>
        <w:t xml:space="preserve"> </w:t>
      </w:r>
      <w:hyperlink w:anchor="fig-loo-ssb">
        <w:r>
          <w:rPr>
            <w:rStyle w:val="Hyperlink"/>
          </w:rPr>
          <w:t xml:space="preserve">Figure 12</w:t>
        </w:r>
      </w:hyperlink>
      <w:r>
        <w:t xml:space="preserve"> </w:t>
      </w:r>
      <w:r>
        <w:t xml:space="preserve">. The model estimates of recruitment were less</w:t>
      </w:r>
      <w:r>
        <w:t xml:space="preserve"> </w:t>
      </w:r>
      <w:r>
        <w:t xml:space="preserve">variable across sensitivity runs, but estimates differed the most from the 2024 accepted model when all BTS data and BTS age composition data were dropped</w:t>
      </w:r>
      <w:r>
        <w:t xml:space="preserve"> </w:t>
      </w:r>
      <w:hyperlink w:anchor="fig-loo-recruitment">
        <w:r>
          <w:rPr>
            <w:rStyle w:val="Hyperlink"/>
          </w:rPr>
          <w:t xml:space="preserve">Figure 13</w:t>
        </w:r>
      </w:hyperlink>
      <w:r>
        <w:t xml:space="preserve">. The relative fits to the different indices by</w:t>
      </w:r>
      <w:r>
        <w:t xml:space="preserve"> </w:t>
      </w:r>
      <w:r>
        <w:t xml:space="preserve">data component ommission show that the model is relatively insensitive to data being</w:t>
      </w:r>
      <w:r>
        <w:t xml:space="preserve"> </w:t>
      </w:r>
      <w:r>
        <w:t xml:space="preserve">excluded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w:t>
      </w:r>
      <w:r>
        <w:t xml:space="preserve"> </w:t>
      </w:r>
      <w:r>
        <w:t xml:space="preserve">consistency can also be noted in the goodness-of-fit measures in</w:t>
      </w:r>
      <w:r>
        <w:t xml:space="preserve"> </w:t>
      </w:r>
      <w:hyperlink w:anchor="tbl-loo_fits">
        <w:r>
          <w:rPr>
            <w:rStyle w:val="Hyperlink"/>
          </w:rPr>
          <w:t xml:space="preserve">Table 5</w:t>
        </w:r>
      </w:hyperlink>
      <w:r>
        <w:t xml:space="preserve">. The table</w:t>
      </w:r>
      <w:r>
        <w:t xml:space="preserve"> </w:t>
      </w:r>
      <w:r>
        <w:t xml:space="preserve">shows several measures of goodness-of-fit for components that are dropped successively.</w:t>
      </w:r>
    </w:p>
    <w:p>
      <w:pPr>
        <w:pStyle w:val="BodyText"/>
      </w:pPr>
      <w:r>
        <w:t xml:space="preserve">In conclusion, the data sources suggest a good level of consistency driving the</w:t>
      </w:r>
      <w:r>
        <w:t xml:space="preserve"> </w:t>
      </w:r>
      <w:r>
        <w:t xml:space="preserve">trends– there appears to be relatively low levels of conflict between data sources. This is likely due</w:t>
      </w:r>
      <w:r>
        <w:t xml:space="preserve"> </w:t>
      </w:r>
      <w:r>
        <w:t xml:space="preserve">to the constant natural mortality-at-age, highly precise fishery catch-at-age, and estimation of time-varying fishery selectivity. That is,</w:t>
      </w:r>
      <w:r>
        <w:t xml:space="preserve"> </w:t>
      </w:r>
      <w:r>
        <w:t xml:space="preserve">the traditional</w:t>
      </w:r>
      <w:r>
        <w:t xml:space="preserve"> </w:t>
      </w:r>
      <w:r>
        <w:t xml:space="preserve">“VPA”</w:t>
      </w:r>
      <w:r>
        <w:t xml:space="preserve"> </w:t>
      </w:r>
      <w:r>
        <w:t xml:space="preserve">approach of back-calculating the abundance based on the numbers</w:t>
      </w:r>
      <w:r>
        <w:t xml:space="preserve"> </w:t>
      </w:r>
      <w:r>
        <w:t xml:space="preserve">caught results in a relatively consistent estimate of the population size. The importance</w:t>
      </w:r>
      <w:r>
        <w:t xml:space="preserve"> </w:t>
      </w:r>
      <w:r>
        <w:t xml:space="preserve">of the survey data can be seen in some of the reference calculations where the uncertainty</w:t>
      </w:r>
      <w:r>
        <w:t xml:space="preserve"> </w:t>
      </w:r>
      <w:r>
        <w:t xml:space="preserve">increases dramatically and the stock-status perception is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71" w:name="alternative-assessment-software"/>
    <w:p>
      <w:pPr>
        <w:pStyle w:val="Heading1"/>
      </w:pPr>
      <w:r>
        <w:t xml:space="preserve">Alternative assessment software</w:t>
      </w:r>
    </w:p>
    <w:bookmarkStart w:id="12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17</w:t>
        </w:r>
      </w:hyperlink>
      <w:r>
        <w:t xml:space="preserve">). These showed the impact on the uncertainty and stock trends</w:t>
      </w:r>
      <w:r>
        <w:t xml:space="preserve"> </w:t>
      </w:r>
      <w:r>
        <w:t xml:space="preserve">(</w:t>
      </w:r>
      <w:hyperlink w:anchor="fig-synts-1">
        <w:r>
          <w:rPr>
            <w:rStyle w:val="Hyperlink"/>
          </w:rPr>
          <w:t xml:space="preserve">Figure 18</w:t>
        </w:r>
      </w:hyperlink>
      <w:r>
        <w:t xml:space="preserve"> </w:t>
      </w:r>
      <w:r>
        <w:t xml:space="preserve">for SSB and</w:t>
      </w:r>
      <w:r>
        <w:t xml:space="preserve"> </w:t>
      </w:r>
      <w:hyperlink w:anchor="fig-synts-2">
        <w:r>
          <w:rPr>
            <w:rStyle w:val="Hyperlink"/>
          </w:rPr>
          <w:t xml:space="preserve">Figure 19</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00" w:name="fig-ss3"/>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ss3-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Model results comparing three different SS3 model configurations. The models are the base model (Base), the constrained model (Constrained), and the flexible model (Flexible).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synts-1"/>
          <w:p>
            <w:pPr>
              <w:pStyle w:val="Compact"/>
              <w:jc w:val="center"/>
            </w:pPr>
            <w:r>
              <w:drawing>
                <wp:inline>
                  <wp:extent cx="5334000" cy="4267200"/>
                  <wp:effectExtent b="0" l="0" r="0" t="0"/>
                  <wp:docPr descr="" title="" id="102" name="Picture"/>
                  <a:graphic>
                    <a:graphicData uri="http://schemas.openxmlformats.org/drawingml/2006/picture">
                      <pic:pic>
                        <pic:nvPicPr>
                          <pic:cNvPr descr="CIE_files/figure-docx/fig-synts-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results comparing the time-series for three different SS3 model configurations. The models are the base model (Base), the constrained model (Constrained), and the flexible model (Flexible).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8" w:name="fig-synts-2"/>
          <w:p>
            <w:pPr>
              <w:pStyle w:val="Compact"/>
              <w:jc w:val="center"/>
            </w:pPr>
            <w:r>
              <w:drawing>
                <wp:inline>
                  <wp:extent cx="5334000" cy="4267200"/>
                  <wp:effectExtent b="0" l="0" r="0" t="0"/>
                  <wp:docPr descr="" title="" id="106" name="Picture"/>
                  <a:graphic>
                    <a:graphicData uri="http://schemas.openxmlformats.org/drawingml/2006/picture">
                      <pic:pic>
                        <pic:nvPicPr>
                          <pic:cNvPr descr="CIE_files/figure-docx/fig-synts-2.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Model results comparing the time-series for three different SS3 model configurations. The models are the base model (Base), the constrained model (Constrained), and the flexible model (Flexible).</w:t>
            </w:r>
          </w:p>
          <w:bookmarkEnd w:id="108"/>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20</w:t>
        </w:r>
      </w:hyperlink>
      <w:r>
        <w:t xml:space="preserve">) but slight differences in SSB and recruitment estimates</w:t>
      </w:r>
      <w:r>
        <w:t xml:space="preserve"> </w:t>
      </w:r>
      <w:r>
        <w:t xml:space="preserve">(</w:t>
      </w:r>
      <w:hyperlink w:anchor="fig-pmvss3-1">
        <w:r>
          <w:rPr>
            <w:rStyle w:val="Hyperlink"/>
          </w:rPr>
          <w:t xml:space="preserve">Figure 21</w:t>
        </w:r>
      </w:hyperlink>
      <w:r>
        <w:t xml:space="preserve"> </w:t>
      </w:r>
      <w:r>
        <w:t xml:space="preserve">and</w:t>
      </w:r>
      <w:r>
        <w:t xml:space="preserve"> </w:t>
      </w:r>
      <w:hyperlink w:anchor="fig-pmvss3-2">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fig-ss3vpmsel"/>
          <w:p>
            <w:pPr>
              <w:pStyle w:val="Compact"/>
              <w:jc w:val="center"/>
            </w:pPr>
            <w:r>
              <w:drawing>
                <wp:inline>
                  <wp:extent cx="5334000" cy="4267200"/>
                  <wp:effectExtent b="0" l="0" r="0" t="0"/>
                  <wp:docPr descr="" title="" id="110" name="Picture"/>
                  <a:graphic>
                    <a:graphicData uri="http://schemas.openxmlformats.org/drawingml/2006/picture">
                      <pic:pic>
                        <pic:nvPicPr>
                          <pic:cNvPr descr="CIE_files/figure-docx/fig-ss3vpmsel-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selectivity estimates between the base SS3 model configuration and the pollock model accepted in 2024.</w:t>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pmvss3-1"/>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pmv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base SS3 model configuration with the model used for pollock in 2024.</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pmvss3-2"/>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pmvss3-2.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base SS3 model configuration with the model used for pollock in 2024.</w:t>
            </w:r>
          </w:p>
          <w:bookmarkEnd w:id="120"/>
        </w:tc>
      </w:tr>
    </w:tbl>
    <w:bookmarkEnd w:id="121"/>
    <w:bookmarkStart w:id="135"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2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sam"/>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am-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last year’s model with the SAM model.</w:t>
            </w:r>
          </w:p>
          <w:bookmarkEnd w:id="126"/>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24</w:t>
        </w:r>
      </w:hyperlink>
      <w:r>
        <w:t xml:space="preserve">). The recruitment estimates are similar as well</w:t>
      </w:r>
      <w:r>
        <w:t xml:space="preserve"> </w:t>
      </w:r>
      <w:r>
        <w:t xml:space="preserve">(</w:t>
      </w:r>
      <w:hyperlink w:anchor="fig-samts-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0" w:name="fig-samts-1"/>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amts-1.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last year’s model with the SAM model for spawning biomass (top) and recruitment at age 1 (bottom).</w:t>
            </w:r>
          </w:p>
          <w:bookmarkEnd w:id="130"/>
        </w:tc>
      </w:tr>
    </w:tbl>
    <w:tbl>
      <w:tblPr>
        <w:tblStyle w:val="Table"/>
        <w:tblW w:type="pct" w:w="5000"/>
        <w:tblLayout w:type="fixed"/>
        <w:tblLook w:firstRow="0" w:lastRow="0" w:firstColumn="0" w:lastColumn="0" w:noHBand="0" w:noVBand="0" w:val="0000"/>
      </w:tblPr>
      <w:tblGrid>
        <w:gridCol w:w="7920"/>
      </w:tblGrid>
      <w:tr>
        <w:tc>
          <w:tcPr/>
          <w:bookmarkStart w:id="134" w:name="fig-samts-2"/>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amts-2.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last year’s model with the SAM model for spawning biomass (top) and recruitment at age 1 (bottom).</w:t>
            </w:r>
          </w:p>
          <w:bookmarkEnd w:id="134"/>
        </w:tc>
      </w:tr>
    </w:tbl>
    <w:bookmarkEnd w:id="135"/>
    <w:bookmarkStart w:id="157"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36">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 (</w:t>
      </w:r>
      <w:hyperlink w:anchor="fig-rceattle">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0" w:name="fig-rceattle"/>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rceattle-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Rceattle model.</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rceattle_ts"/>
          <w:p>
            <w:pPr>
              <w:pStyle w:val="Compact"/>
              <w:jc w:val="center"/>
            </w:pPr>
            <w:r>
              <w:drawing>
                <wp:inline>
                  <wp:extent cx="5334000" cy="4267200"/>
                  <wp:effectExtent b="0" l="0" r="0" t="0"/>
                  <wp:docPr descr="" title="" id="142" name="Picture"/>
                  <a:graphic>
                    <a:graphicData uri="http://schemas.openxmlformats.org/drawingml/2006/picture">
                      <pic:pic>
                        <pic:nvPicPr>
                          <pic:cNvPr descr="CIE_files/figure-docx/fig-rceattle_ts-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Rceattle model.</w:t>
            </w:r>
          </w:p>
          <w:bookmarkEnd w:id="144"/>
        </w:tc>
      </w:tr>
    </w:tbl>
    <w:tbl>
      <w:tblPr>
        <w:tblStyle w:val="Table"/>
        <w:tblW w:type="pct" w:w="5000"/>
        <w:tblLayout w:type="fixed"/>
        <w:tblLook w:firstRow="0" w:lastRow="0" w:firstColumn="0" w:lastColumn="0" w:noHBand="0" w:noVBand="0" w:val="0000"/>
      </w:tblPr>
      <w:tblGrid>
        <w:gridCol w:w="7920"/>
      </w:tblGrid>
      <w:tr>
        <w:tc>
          <w:tcPr/>
          <w:bookmarkStart w:id="148" w:name="fig-all"/>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all-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Rceattle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all_ts-1"/>
          <w:p>
            <w:pPr>
              <w:pStyle w:val="Compact"/>
              <w:jc w:val="center"/>
            </w:pPr>
            <w:r>
              <w:drawing>
                <wp:inline>
                  <wp:extent cx="5334000" cy="4267200"/>
                  <wp:effectExtent b="0" l="0" r="0" t="0"/>
                  <wp:docPr descr="" title="" id="150" name="Picture"/>
                  <a:graphic>
                    <a:graphicData uri="http://schemas.openxmlformats.org/drawingml/2006/picture">
                      <pic:pic>
                        <pic:nvPicPr>
                          <pic:cNvPr descr="CIE_files/figure-docx/fig-all_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all_ts-2"/>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_ts-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56"/>
        </w:tc>
      </w:tr>
    </w:tbl>
    <w:bookmarkEnd w:id="157"/>
    <w:bookmarkStart w:id="170"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31</w:t>
        </w:r>
      </w:hyperlink>
      <w:r>
        <w:t xml:space="preserve"> </w:t>
      </w:r>
      <w:r>
        <w:t xml:space="preserve">shows the model results comparing time-varying selectivity whereas</w:t>
      </w:r>
      <w:r>
        <w:t xml:space="preserve"> </w:t>
      </w:r>
      <w:hyperlink w:anchor="fig-spock_ts-1">
        <w:r>
          <w:rPr>
            <w:rStyle w:val="Hyperlink"/>
          </w:rPr>
          <w:t xml:space="preserve">Figure 32</w:t>
        </w:r>
      </w:hyperlink>
      <w:r>
        <w:t xml:space="preserve"> </w:t>
      </w:r>
      <w:r>
        <w:t xml:space="preserve">shows the model results time series. The difference in the age-1 recruits (</w:t>
      </w:r>
      <w:hyperlink w:anchor="fig-spock_ts-2">
        <w:r>
          <w:rPr>
            <w:rStyle w:val="Hyperlink"/>
          </w:rPr>
          <w:t xml:space="preserve">Figure 33</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1" w:name="fig-spock_sel"/>
          <w:p>
            <w:pPr>
              <w:pStyle w:val="Compact"/>
              <w:jc w:val="center"/>
            </w:pPr>
            <w:r>
              <w:drawing>
                <wp:inline>
                  <wp:extent cx="5334000" cy="4267200"/>
                  <wp:effectExtent b="0" l="0" r="0" t="0"/>
                  <wp:docPr descr="" title="" id="159" name="Picture"/>
                  <a:graphic>
                    <a:graphicData uri="http://schemas.openxmlformats.org/drawingml/2006/picture">
                      <pic:pic>
                        <pic:nvPicPr>
                          <pic:cNvPr descr="CIE_files/figure-docx/fig-spock_sel-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SPock model.</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pock_ts-1"/>
          <w:p>
            <w:pPr>
              <w:pStyle w:val="Compact"/>
              <w:jc w:val="center"/>
            </w:pPr>
            <w:r>
              <w:drawing>
                <wp:inline>
                  <wp:extent cx="5334000" cy="2667000"/>
                  <wp:effectExtent b="0" l="0" r="0" t="0"/>
                  <wp:docPr descr="" title="" id="163" name="Picture"/>
                  <a:graphic>
                    <a:graphicData uri="http://schemas.openxmlformats.org/drawingml/2006/picture">
                      <pic:pic>
                        <pic:nvPicPr>
                          <pic:cNvPr descr="CIE_files/figure-docx/fig-spock_ts-1.png" id="164" name="Picture"/>
                          <pic:cNvPicPr>
                            <a:picLocks noChangeArrowheads="1" noChangeAspect="1"/>
                          </pic:cNvPicPr>
                        </pic:nvPicPr>
                        <pic:blipFill>
                          <a:blip r:embed="rId1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spock_ts-2"/>
          <w:p>
            <w:pPr>
              <w:pStyle w:val="Compact"/>
              <w:jc w:val="center"/>
            </w:pPr>
            <w:r>
              <w:drawing>
                <wp:inline>
                  <wp:extent cx="5334000" cy="2667000"/>
                  <wp:effectExtent b="0" l="0" r="0" t="0"/>
                  <wp:docPr descr="" title="" id="167" name="Picture"/>
                  <a:graphic>
                    <a:graphicData uri="http://schemas.openxmlformats.org/drawingml/2006/picture">
                      <pic:pic>
                        <pic:nvPicPr>
                          <pic:cNvPr descr="CIE_files/figure-docx/fig-spock_ts-2.png" id="168" name="Picture"/>
                          <pic:cNvPicPr>
                            <a:picLocks noChangeArrowheads="1" noChangeAspect="1"/>
                          </pic:cNvPicPr>
                        </pic:nvPicPr>
                        <pic:blipFill>
                          <a:blip r:embed="rId16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69"/>
        </w:tc>
      </w:tr>
    </w:tbl>
    <w:bookmarkEnd w:id="170"/>
    <w:bookmarkEnd w:id="171"/>
    <w:bookmarkStart w:id="182" w:name="X2ca98e5c32d63d527c2188348bd8baaabbd45e2"/>
    <w:p>
      <w:pPr>
        <w:pStyle w:val="Heading1"/>
      </w:pPr>
      <w:r>
        <w:t xml:space="preserve">Bottom-trawl survey spatial distribution modeling</w:t>
      </w:r>
    </w:p>
    <w:bookmarkStart w:id="172"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34</w:t>
        </w:r>
      </w:hyperlink>
      <w:r>
        <w:t xml:space="preserve">).</w:t>
      </w:r>
    </w:p>
    <w:bookmarkEnd w:id="172"/>
    <w:bookmarkStart w:id="181"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35</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76" w:name="fig-sdm_index"/>
          <w:p>
            <w:pPr>
              <w:pStyle w:val="Compact"/>
              <w:jc w:val="center"/>
            </w:pPr>
            <w:r>
              <w:drawing>
                <wp:inline>
                  <wp:extent cx="5334000" cy="3578794"/>
                  <wp:effectExtent b="0" l="0" r="0" t="0"/>
                  <wp:docPr descr="" title="" id="174" name="Picture"/>
                  <a:graphic>
                    <a:graphicData uri="http://schemas.openxmlformats.org/drawingml/2006/picture">
                      <pic:pic>
                        <pic:nvPicPr>
                          <pic:cNvPr descr="figs/Vast_index_updated.png" id="175" name="Picture"/>
                          <pic:cNvPicPr>
                            <a:picLocks noChangeArrowheads="1" noChangeAspect="1"/>
                          </pic:cNvPicPr>
                        </pic:nvPicPr>
                        <pic:blipFill>
                          <a:blip r:embed="rId173"/>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sdmTMB model.</w:t>
            </w:r>
          </w:p>
          <w:bookmarkEnd w:id="176"/>
        </w:tc>
      </w:tr>
    </w:tbl>
    <w:tbl>
      <w:tblPr>
        <w:tblStyle w:val="Table"/>
        <w:tblW w:type="pct" w:w="5000"/>
        <w:tblLayout w:type="fixed"/>
        <w:tblLook w:firstRow="0" w:lastRow="0" w:firstColumn="0" w:lastColumn="0" w:noHBand="0" w:noVBand="0" w:val="0000"/>
      </w:tblPr>
      <w:tblGrid>
        <w:gridCol w:w="7920"/>
      </w:tblGrid>
      <w:tr>
        <w:tc>
          <w:tcPr/>
          <w:bookmarkStart w:id="180" w:name="fig-sdm_age"/>
          <w:p>
            <w:pPr>
              <w:pStyle w:val="Compact"/>
              <w:jc w:val="center"/>
            </w:pPr>
            <w:r>
              <w:drawing>
                <wp:inline>
                  <wp:extent cx="5334000" cy="4798793"/>
                  <wp:effectExtent b="0" l="0" r="0" t="0"/>
                  <wp:docPr descr="" title="" id="178" name="Picture"/>
                  <a:graphic>
                    <a:graphicData uri="http://schemas.openxmlformats.org/drawingml/2006/picture">
                      <pic:pic>
                        <pic:nvPicPr>
                          <pic:cNvPr descr="figs/VAST_Age_Compare.png" id="179" name="Picture"/>
                          <pic:cNvPicPr>
                            <a:picLocks noChangeArrowheads="1" noChangeAspect="1"/>
                          </pic:cNvPicPr>
                        </pic:nvPicPr>
                        <pic:blipFill>
                          <a:blip r:embed="rId177"/>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sdmTMB model.</w:t>
            </w:r>
          </w:p>
          <w:bookmarkEnd w:id="180"/>
        </w:tc>
      </w:tr>
    </w:tbl>
    <w:bookmarkEnd w:id="181"/>
    <w:bookmarkEnd w:id="182"/>
    <w:bookmarkStart w:id="223" w:name="references"/>
    <w:p>
      <w:pPr>
        <w:pStyle w:val="Heading1"/>
      </w:pPr>
      <w:r>
        <w:t xml:space="preserve">References</w:t>
      </w:r>
    </w:p>
    <w:bookmarkStart w:id="222" w:name="refs"/>
    <w:bookmarkStart w:id="184"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83">
        <w:r>
          <w:rPr>
            <w:rStyle w:val="Hyperlink"/>
          </w:rPr>
          <w:t xml:space="preserve">https://doi.org/10.1016/j.fishres.2022.106303</w:t>
        </w:r>
      </w:hyperlink>
      <w:r>
        <w:t xml:space="preserve">.</w:t>
      </w:r>
    </w:p>
    <w:bookmarkEnd w:id="184"/>
    <w:bookmarkStart w:id="186"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85">
        <w:r>
          <w:rPr>
            <w:rStyle w:val="Hyperlink"/>
          </w:rPr>
          <w:t xml:space="preserve">https://doi.org/10.1101/2022.03.24.485545</w:t>
        </w:r>
      </w:hyperlink>
      <w:r>
        <w:t xml:space="preserve">.</w:t>
      </w:r>
    </w:p>
    <w:bookmarkEnd w:id="186"/>
    <w:bookmarkStart w:id="187"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87"/>
    <w:bookmarkStart w:id="189"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88">
        <w:r>
          <w:rPr>
            <w:rStyle w:val="Hyperlink"/>
          </w:rPr>
          <w:t xml:space="preserve">https://doi.org/10.1111/faf.12891</w:t>
        </w:r>
      </w:hyperlink>
      <w:r>
        <w:t xml:space="preserve">.</w:t>
      </w:r>
    </w:p>
    <w:bookmarkEnd w:id="189"/>
    <w:bookmarkStart w:id="191"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90">
        <w:r>
          <w:rPr>
            <w:rStyle w:val="Hyperlink"/>
          </w:rPr>
          <w:t xml:space="preserve">https://doi.org/10.1080/10618600.1996.10474708</w:t>
        </w:r>
      </w:hyperlink>
      <w:r>
        <w:t xml:space="preserve">.</w:t>
      </w:r>
    </w:p>
    <w:bookmarkEnd w:id="191"/>
    <w:bookmarkStart w:id="192"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192"/>
    <w:bookmarkStart w:id="194"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193">
        <w:r>
          <w:rPr>
            <w:rStyle w:val="Hyperlink"/>
          </w:rPr>
          <w:t xml:space="preserve">http://florianhartig.github.io/DHARMa/</w:t>
        </w:r>
      </w:hyperlink>
      <w:r>
        <w:t xml:space="preserve">.</w:t>
      </w:r>
    </w:p>
    <w:bookmarkEnd w:id="194"/>
    <w:bookmarkStart w:id="196"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195">
        <w:r>
          <w:rPr>
            <w:rStyle w:val="Hyperlink"/>
          </w:rPr>
          <w:t xml:space="preserve">https://doi.org/10.1139/cjfas-2018-0112</w:t>
        </w:r>
      </w:hyperlink>
      <w:r>
        <w:t xml:space="preserve">.</w:t>
      </w:r>
    </w:p>
    <w:bookmarkEnd w:id="196"/>
    <w:bookmarkStart w:id="198"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197">
        <w:r>
          <w:rPr>
            <w:rStyle w:val="Hyperlink"/>
          </w:rPr>
          <w:t xml:space="preserve">https://www.npfmc.org/wp-content/PDFdocuments/SAFE/2024/EBSmultispp.pdf</w:t>
        </w:r>
      </w:hyperlink>
      <w:r>
        <w:t xml:space="preserve">.</w:t>
      </w:r>
    </w:p>
    <w:bookmarkEnd w:id="198"/>
    <w:bookmarkStart w:id="200"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199">
        <w:r>
          <w:rPr>
            <w:rStyle w:val="Hyperlink"/>
          </w:rPr>
          <w:t xml:space="preserve">http://afsc-assessments.github.io/EBSpollock/</w:t>
        </w:r>
      </w:hyperlink>
      <w:r>
        <w:t xml:space="preserve">.</w:t>
      </w:r>
    </w:p>
    <w:bookmarkEnd w:id="200"/>
    <w:bookmarkStart w:id="201"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01"/>
    <w:bookmarkStart w:id="203"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02">
        <w:r>
          <w:rPr>
            <w:rStyle w:val="Hyperlink"/>
          </w:rPr>
          <w:t xml:space="preserve">https://doi.org/10.1016/j.fishres.2012.10.012</w:t>
        </w:r>
      </w:hyperlink>
      <w:r>
        <w:t xml:space="preserve">.</w:t>
      </w:r>
    </w:p>
    <w:bookmarkEnd w:id="203"/>
    <w:bookmarkStart w:id="205"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04">
        <w:r>
          <w:rPr>
            <w:rStyle w:val="Hyperlink"/>
          </w:rPr>
          <w:t xml:space="preserve">https://doi.org/10.1016/j.fishres.2014.01.014</w:t>
        </w:r>
      </w:hyperlink>
      <w:r>
        <w:t xml:space="preserve">.</w:t>
      </w:r>
    </w:p>
    <w:bookmarkEnd w:id="205"/>
    <w:bookmarkStart w:id="207"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06">
        <w:r>
          <w:rPr>
            <w:rStyle w:val="Hyperlink"/>
          </w:rPr>
          <w:t xml:space="preserve">https://doi.org/10.1093/icesjms/fsab078</w:t>
        </w:r>
      </w:hyperlink>
      <w:r>
        <w:t xml:space="preserve">.</w:t>
      </w:r>
    </w:p>
    <w:bookmarkEnd w:id="207"/>
    <w:bookmarkStart w:id="209"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08">
        <w:r>
          <w:rPr>
            <w:rStyle w:val="Hyperlink"/>
          </w:rPr>
          <w:t xml:space="preserve">https://doi.org/10.1111/fog.12494</w:t>
        </w:r>
      </w:hyperlink>
      <w:r>
        <w:t xml:space="preserve">.</w:t>
      </w:r>
    </w:p>
    <w:bookmarkEnd w:id="209"/>
    <w:bookmarkStart w:id="210"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10"/>
    <w:bookmarkStart w:id="212"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11">
        <w:r>
          <w:rPr>
            <w:rStyle w:val="Hyperlink"/>
          </w:rPr>
          <w:t xml:space="preserve">https://doi.org/10.25923/1wwh-q418</w:t>
        </w:r>
      </w:hyperlink>
      <w:r>
        <w:t xml:space="preserve">.</w:t>
      </w:r>
    </w:p>
    <w:bookmarkEnd w:id="212"/>
    <w:bookmarkStart w:id="214"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13">
        <w:r>
          <w:rPr>
            <w:rStyle w:val="Hyperlink"/>
          </w:rPr>
          <w:t xml:space="preserve">https://doi.org/10.1016/j.fishres.2021.105967</w:t>
        </w:r>
      </w:hyperlink>
      <w:r>
        <w:t xml:space="preserve">.</w:t>
      </w:r>
    </w:p>
    <w:bookmarkEnd w:id="214"/>
    <w:bookmarkStart w:id="216"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15">
        <w:r>
          <w:rPr>
            <w:rStyle w:val="Hyperlink"/>
          </w:rPr>
          <w:t xml:space="preserve">https://doi.org/10.1139/cjfas-2017-0266</w:t>
        </w:r>
      </w:hyperlink>
      <w:r>
        <w:t xml:space="preserve">.</w:t>
      </w:r>
    </w:p>
    <w:bookmarkEnd w:id="216"/>
    <w:bookmarkStart w:id="218"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17">
        <w:r>
          <w:rPr>
            <w:rStyle w:val="Hyperlink"/>
          </w:rPr>
          <w:t xml:space="preserve">https://doi.org/10.1002/lno.11238</w:t>
        </w:r>
      </w:hyperlink>
      <w:r>
        <w:t xml:space="preserve">.</w:t>
      </w:r>
    </w:p>
    <w:bookmarkEnd w:id="218"/>
    <w:bookmarkStart w:id="219"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19"/>
    <w:bookmarkStart w:id="221"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20">
        <w:r>
          <w:rPr>
            <w:rStyle w:val="Hyperlink"/>
          </w:rPr>
          <w:t xml:space="preserve">https://doi.org/10.1016/j.fishres.2015.11.016</w:t>
        </w:r>
      </w:hyperlink>
      <w:r>
        <w:t xml:space="preserve">.</w:t>
      </w:r>
    </w:p>
    <w:bookmarkEnd w:id="221"/>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47" Target="media/rId47.png" /><Relationship Type="http://schemas.openxmlformats.org/officeDocument/2006/relationships/image" Id="rId177" Target="media/rId177.png" /><Relationship Type="http://schemas.openxmlformats.org/officeDocument/2006/relationships/image" Id="rId173" Target="media/rId173.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199" Target="http://afsc-assessments.github.io/EBSpollock/" TargetMode="External" /><Relationship Type="http://schemas.openxmlformats.org/officeDocument/2006/relationships/hyperlink" Id="rId19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7" Target="https://doi.org/10.1002/lno.11238" TargetMode="External" /><Relationship Type="http://schemas.openxmlformats.org/officeDocument/2006/relationships/hyperlink" Id="rId202" Target="https://doi.org/10.1016/j.fishres.2012.10.012" TargetMode="External" /><Relationship Type="http://schemas.openxmlformats.org/officeDocument/2006/relationships/hyperlink" Id="rId204" Target="https://doi.org/10.1016/j.fishres.2014.01.014" TargetMode="External" /><Relationship Type="http://schemas.openxmlformats.org/officeDocument/2006/relationships/hyperlink" Id="rId220" Target="https://doi.org/10.1016/j.fishres.2015.11.016" TargetMode="External" /><Relationship Type="http://schemas.openxmlformats.org/officeDocument/2006/relationships/hyperlink" Id="rId213" Target="https://doi.org/10.1016/j.fishres.2021.105967" TargetMode="External" /><Relationship Type="http://schemas.openxmlformats.org/officeDocument/2006/relationships/hyperlink" Id="rId183" Target="https://doi.org/10.1016/j.fishres.2022.106303" TargetMode="External" /><Relationship Type="http://schemas.openxmlformats.org/officeDocument/2006/relationships/hyperlink" Id="rId190" Target="https://doi.org/10.1080/10618600.1996.10474708" TargetMode="External" /><Relationship Type="http://schemas.openxmlformats.org/officeDocument/2006/relationships/hyperlink" Id="rId206" Target="https://doi.org/10.1093/icesjms/fsab078" TargetMode="External" /><Relationship Type="http://schemas.openxmlformats.org/officeDocument/2006/relationships/hyperlink" Id="rId185" Target="https://doi.org/10.1101/2022.03.24.485545" TargetMode="External" /><Relationship Type="http://schemas.openxmlformats.org/officeDocument/2006/relationships/hyperlink" Id="rId188" Target="https://doi.org/10.1111/faf.12891" TargetMode="External" /><Relationship Type="http://schemas.openxmlformats.org/officeDocument/2006/relationships/hyperlink" Id="rId208" Target="https://doi.org/10.1111/fog.12494" TargetMode="External" /><Relationship Type="http://schemas.openxmlformats.org/officeDocument/2006/relationships/hyperlink" Id="rId215" Target="https://doi.org/10.1139/cjfas-2017-0266" TargetMode="External" /><Relationship Type="http://schemas.openxmlformats.org/officeDocument/2006/relationships/hyperlink" Id="rId195" Target="https://doi.org/10.1139/cjfas-2018-0112" TargetMode="External" /><Relationship Type="http://schemas.openxmlformats.org/officeDocument/2006/relationships/hyperlink" Id="rId211"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7"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199" Target="http://afsc-assessments.github.io/EBSpollock/" TargetMode="External" /><Relationship Type="http://schemas.openxmlformats.org/officeDocument/2006/relationships/hyperlink" Id="rId19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7" Target="https://doi.org/10.1002/lno.11238" TargetMode="External" /><Relationship Type="http://schemas.openxmlformats.org/officeDocument/2006/relationships/hyperlink" Id="rId202" Target="https://doi.org/10.1016/j.fishres.2012.10.012" TargetMode="External" /><Relationship Type="http://schemas.openxmlformats.org/officeDocument/2006/relationships/hyperlink" Id="rId204" Target="https://doi.org/10.1016/j.fishres.2014.01.014" TargetMode="External" /><Relationship Type="http://schemas.openxmlformats.org/officeDocument/2006/relationships/hyperlink" Id="rId220" Target="https://doi.org/10.1016/j.fishres.2015.11.016" TargetMode="External" /><Relationship Type="http://schemas.openxmlformats.org/officeDocument/2006/relationships/hyperlink" Id="rId213" Target="https://doi.org/10.1016/j.fishres.2021.105967" TargetMode="External" /><Relationship Type="http://schemas.openxmlformats.org/officeDocument/2006/relationships/hyperlink" Id="rId183" Target="https://doi.org/10.1016/j.fishres.2022.106303" TargetMode="External" /><Relationship Type="http://schemas.openxmlformats.org/officeDocument/2006/relationships/hyperlink" Id="rId190" Target="https://doi.org/10.1080/10618600.1996.10474708" TargetMode="External" /><Relationship Type="http://schemas.openxmlformats.org/officeDocument/2006/relationships/hyperlink" Id="rId206" Target="https://doi.org/10.1093/icesjms/fsab078" TargetMode="External" /><Relationship Type="http://schemas.openxmlformats.org/officeDocument/2006/relationships/hyperlink" Id="rId185" Target="https://doi.org/10.1101/2022.03.24.485545" TargetMode="External" /><Relationship Type="http://schemas.openxmlformats.org/officeDocument/2006/relationships/hyperlink" Id="rId188" Target="https://doi.org/10.1111/faf.12891" TargetMode="External" /><Relationship Type="http://schemas.openxmlformats.org/officeDocument/2006/relationships/hyperlink" Id="rId208" Target="https://doi.org/10.1111/fog.12494" TargetMode="External" /><Relationship Type="http://schemas.openxmlformats.org/officeDocument/2006/relationships/hyperlink" Id="rId215" Target="https://doi.org/10.1139/cjfas-2017-0266" TargetMode="External" /><Relationship Type="http://schemas.openxmlformats.org/officeDocument/2006/relationships/hyperlink" Id="rId195" Target="https://doi.org/10.1139/cjfas-2018-0112" TargetMode="External" /><Relationship Type="http://schemas.openxmlformats.org/officeDocument/2006/relationships/hyperlink" Id="rId211"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7"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Sofia Wassermann</dc:creator>
  <cp:keywords/>
  <dcterms:created xsi:type="dcterms:W3CDTF">2025-05-07T03:29:01Z</dcterms:created>
  <dcterms:modified xsi:type="dcterms:W3CDTF">2025-05-07T03:29:01Z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reference-docx">
    <vt:lpwstr>../template.docx</vt:lpwstr>
  </property>
  <property fmtid="{D5CDD505-2E9C-101B-9397-08002B2CF9AE}" pid="16" name="subtitle">
    <vt:lpwstr>May 2025, CIE review</vt:lpwstr>
  </property>
  <property fmtid="{D5CDD505-2E9C-101B-9397-08002B2CF9AE}" pid="17" name="toc-title">
    <vt:lpwstr>Table of contents</vt:lpwstr>
  </property>
</Properties>
</file>