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3.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leave-one-out-sensitivity-analysis"/>
    <w:p>
      <w:pPr>
        <w:pStyle w:val="Heading1"/>
      </w:pPr>
      <w:r>
        <w:t xml:space="preserve">Leave-one-out sensitivity analysis</w:t>
      </w:r>
    </w:p>
    <w:p>
      <w:pPr>
        <w:pStyle w:val="FirstParagraph"/>
      </w:pPr>
      <w:r>
        <w:t xml:space="preserve">Here we present model runs that downweight one source of age composition data at a time,</w:t>
      </w:r>
      <w:r>
        <w:t xml:space="preserve"> </w:t>
      </w:r>
      <w:r>
        <w:t xml:space="preserve">as well as a run that downweights all survey biomass indices.</w:t>
      </w:r>
      <w:r>
        <w:t xml:space="preserve"> </w:t>
      </w:r>
      <w:hyperlink w:anchor="tbl-loo_runs">
        <w:r>
          <w:rPr>
            <w:rStyle w:val="Hyperlink"/>
          </w:rPr>
          <w:t xml:space="preserve">Table 4</w:t>
        </w:r>
      </w:hyperlink>
      <w:r>
        <w:t xml:space="preserve"> </w:t>
      </w:r>
      <w:r>
        <w:t xml:space="preserve">shows the</w:t>
      </w:r>
      <w:r>
        <w:t xml:space="preserve"> </w:t>
      </w:r>
      <w:r>
        <w:t xml:space="preserve">combinations of data types included for this analysis.</w:t>
      </w:r>
    </w:p>
    <w:p>
      <w:pPr>
        <w:pStyle w:val="BodyText"/>
      </w:pPr>
      <w:r>
        <w:t xml:space="preserve">Results show that the model is sensitive to the inclusion of the … data (</w:t>
      </w:r>
      <w:hyperlink w:anchor="tbl-loo_fit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dramatic in appearance but was consistent for the run where all of the bottom-trawl survey</w:t>
      </w:r>
      <w:r>
        <w:t xml:space="preserve"> </w:t>
      </w:r>
      <w:r>
        <w:t xml:space="preserve">data were excluded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the goodness-of-fit in different ways to the components that are dropped</w:t>
      </w:r>
      <w:r>
        <w:t xml:space="preserve"> </w:t>
      </w:r>
      <w:r>
        <w:t xml:space="preserve">successively.</w:t>
      </w:r>
    </w:p>
    <w:p>
      <w:pPr>
        <w:pStyle w:val="BodyText"/>
      </w:pPr>
      <w:r>
        <w:t xml:space="preserve">In conclusion, the data sources suggest a good level of consistency driving the</w:t>
      </w:r>
      <w:r>
        <w:t xml:space="preserve"> </w:t>
      </w:r>
      <w:r>
        <w:t xml:space="preserve">trends–that is there appears to be relatively low levels of conflict. This is likely due</w:t>
      </w:r>
      <w:r>
        <w:t xml:space="preserve"> </w:t>
      </w:r>
      <w:r>
        <w:t xml:space="preserve">to the constant natural mortality-at-age and highly precise fishery catch-at-age.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w:t>
      </w:r>
      <w:r>
        <w:t xml:space="preserve"> </w:t>
      </w:r>
      <w:hyperlink w:anchor="tbl-loo_ref">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717.520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661.740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682.320</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78" w:name="X2ca98e5c32d63d527c2188348bd8baaabbd45e2"/>
    <w:p>
      <w:pPr>
        <w:pStyle w:val="Heading1"/>
      </w:pPr>
      <w:r>
        <w:t xml:space="preserve">Bottom-trawl survey spatial distribution modeling</w:t>
      </w:r>
    </w:p>
    <w:bookmarkStart w:id="17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p>
    <w:bookmarkEnd w:id="172"/>
    <w:bookmarkStart w:id="177"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34</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6" w:name="fig-sdm_age"/>
          <w:p>
            <w:pPr>
              <w:pStyle w:val="Compact"/>
              <w:jc w:val="center"/>
            </w:pPr>
            <w:r>
              <w:drawing>
                <wp:inline>
                  <wp:extent cx="5334000" cy="4798793"/>
                  <wp:effectExtent b="0" l="0" r="0" t="0"/>
                  <wp:docPr descr="" title="" id="174" name="Picture"/>
                  <a:graphic>
                    <a:graphicData uri="http://schemas.openxmlformats.org/drawingml/2006/picture">
                      <pic:pic>
                        <pic:nvPicPr>
                          <pic:cNvPr descr="figs/VAST_Age_Compare.png" id="175" name="Picture"/>
                          <pic:cNvPicPr>
                            <a:picLocks noChangeArrowheads="1" noChangeAspect="1"/>
                          </pic:cNvPicPr>
                        </pic:nvPicPr>
                        <pic:blipFill>
                          <a:blip r:embed="rId17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sdmTMB model.</w:t>
            </w:r>
          </w:p>
          <w:bookmarkEnd w:id="176"/>
        </w:tc>
      </w:tr>
    </w:tbl>
    <w:bookmarkEnd w:id="177"/>
    <w:bookmarkEnd w:id="178"/>
    <w:bookmarkStart w:id="219" w:name="references"/>
    <w:p>
      <w:pPr>
        <w:pStyle w:val="Heading1"/>
      </w:pPr>
      <w:r>
        <w:t xml:space="preserve">References</w:t>
      </w:r>
    </w:p>
    <w:bookmarkStart w:id="218" w:name="refs"/>
    <w:bookmarkStart w:id="180"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79">
        <w:r>
          <w:rPr>
            <w:rStyle w:val="Hyperlink"/>
          </w:rPr>
          <w:t xml:space="preserve">https://doi.org/10.1016/j.fishres.2022.106303</w:t>
        </w:r>
      </w:hyperlink>
      <w:r>
        <w:t xml:space="preserve">.</w:t>
      </w:r>
    </w:p>
    <w:bookmarkEnd w:id="180"/>
    <w:bookmarkStart w:id="182"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1">
        <w:r>
          <w:rPr>
            <w:rStyle w:val="Hyperlink"/>
          </w:rPr>
          <w:t xml:space="preserve">https://doi.org/10.1101/2022.03.24.485545</w:t>
        </w:r>
      </w:hyperlink>
      <w:r>
        <w:t xml:space="preserve">.</w:t>
      </w:r>
    </w:p>
    <w:bookmarkEnd w:id="182"/>
    <w:bookmarkStart w:id="183"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3"/>
    <w:bookmarkStart w:id="185"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4">
        <w:r>
          <w:rPr>
            <w:rStyle w:val="Hyperlink"/>
          </w:rPr>
          <w:t xml:space="preserve">https://doi.org/10.1111/faf.12891</w:t>
        </w:r>
      </w:hyperlink>
      <w:r>
        <w:t xml:space="preserve">.</w:t>
      </w:r>
    </w:p>
    <w:bookmarkEnd w:id="185"/>
    <w:bookmarkStart w:id="187"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86">
        <w:r>
          <w:rPr>
            <w:rStyle w:val="Hyperlink"/>
          </w:rPr>
          <w:t xml:space="preserve">https://doi.org/10.1080/10618600.1996.10474708</w:t>
        </w:r>
      </w:hyperlink>
      <w:r>
        <w:t xml:space="preserve">.</w:t>
      </w:r>
    </w:p>
    <w:bookmarkEnd w:id="187"/>
    <w:bookmarkStart w:id="188"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88"/>
    <w:bookmarkStart w:id="190"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89">
        <w:r>
          <w:rPr>
            <w:rStyle w:val="Hyperlink"/>
          </w:rPr>
          <w:t xml:space="preserve">http://florianhartig.github.io/DHARMa/</w:t>
        </w:r>
      </w:hyperlink>
      <w:r>
        <w:t xml:space="preserve">.</w:t>
      </w:r>
    </w:p>
    <w:bookmarkEnd w:id="190"/>
    <w:bookmarkStart w:id="192"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1">
        <w:r>
          <w:rPr>
            <w:rStyle w:val="Hyperlink"/>
          </w:rPr>
          <w:t xml:space="preserve">https://doi.org/10.1139/cjfas-2018-0112</w:t>
        </w:r>
      </w:hyperlink>
      <w:r>
        <w:t xml:space="preserve">.</w:t>
      </w:r>
    </w:p>
    <w:bookmarkEnd w:id="192"/>
    <w:bookmarkStart w:id="194"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3">
        <w:r>
          <w:rPr>
            <w:rStyle w:val="Hyperlink"/>
          </w:rPr>
          <w:t xml:space="preserve">https://www.npfmc.org/wp-content/PDFdocuments/SAFE/2024/EBSmultispp.pdf</w:t>
        </w:r>
      </w:hyperlink>
      <w:r>
        <w:t xml:space="preserve">.</w:t>
      </w:r>
    </w:p>
    <w:bookmarkEnd w:id="194"/>
    <w:bookmarkStart w:id="196"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5">
        <w:r>
          <w:rPr>
            <w:rStyle w:val="Hyperlink"/>
          </w:rPr>
          <w:t xml:space="preserve">http://afsc-assessments.github.io/EBSpollock/</w:t>
        </w:r>
      </w:hyperlink>
      <w:r>
        <w:t xml:space="preserve">.</w:t>
      </w:r>
    </w:p>
    <w:bookmarkEnd w:id="196"/>
    <w:bookmarkStart w:id="197"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197"/>
    <w:bookmarkStart w:id="199"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198">
        <w:r>
          <w:rPr>
            <w:rStyle w:val="Hyperlink"/>
          </w:rPr>
          <w:t xml:space="preserve">https://doi.org/10.1016/j.fishres.2012.10.012</w:t>
        </w:r>
      </w:hyperlink>
      <w:r>
        <w:t xml:space="preserve">.</w:t>
      </w:r>
    </w:p>
    <w:bookmarkEnd w:id="199"/>
    <w:bookmarkStart w:id="201"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0">
        <w:r>
          <w:rPr>
            <w:rStyle w:val="Hyperlink"/>
          </w:rPr>
          <w:t xml:space="preserve">https://doi.org/10.1016/j.fishres.2014.01.014</w:t>
        </w:r>
      </w:hyperlink>
      <w:r>
        <w:t xml:space="preserve">.</w:t>
      </w:r>
    </w:p>
    <w:bookmarkEnd w:id="201"/>
    <w:bookmarkStart w:id="203"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2">
        <w:r>
          <w:rPr>
            <w:rStyle w:val="Hyperlink"/>
          </w:rPr>
          <w:t xml:space="preserve">https://doi.org/10.1093/icesjms/fsab078</w:t>
        </w:r>
      </w:hyperlink>
      <w:r>
        <w:t xml:space="preserve">.</w:t>
      </w:r>
    </w:p>
    <w:bookmarkEnd w:id="203"/>
    <w:bookmarkStart w:id="205"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4">
        <w:r>
          <w:rPr>
            <w:rStyle w:val="Hyperlink"/>
          </w:rPr>
          <w:t xml:space="preserve">https://doi.org/10.1111/fog.12494</w:t>
        </w:r>
      </w:hyperlink>
      <w:r>
        <w:t xml:space="preserve">.</w:t>
      </w:r>
    </w:p>
    <w:bookmarkEnd w:id="205"/>
    <w:bookmarkStart w:id="206"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06"/>
    <w:bookmarkStart w:id="208"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07">
        <w:r>
          <w:rPr>
            <w:rStyle w:val="Hyperlink"/>
          </w:rPr>
          <w:t xml:space="preserve">https://doi.org/10.25923/1wwh-q418</w:t>
        </w:r>
      </w:hyperlink>
      <w:r>
        <w:t xml:space="preserve">.</w:t>
      </w:r>
    </w:p>
    <w:bookmarkEnd w:id="208"/>
    <w:bookmarkStart w:id="210"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09">
        <w:r>
          <w:rPr>
            <w:rStyle w:val="Hyperlink"/>
          </w:rPr>
          <w:t xml:space="preserve">https://doi.org/10.1016/j.fishres.2021.105967</w:t>
        </w:r>
      </w:hyperlink>
      <w:r>
        <w:t xml:space="preserve">.</w:t>
      </w:r>
    </w:p>
    <w:bookmarkEnd w:id="210"/>
    <w:bookmarkStart w:id="212"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1">
        <w:r>
          <w:rPr>
            <w:rStyle w:val="Hyperlink"/>
          </w:rPr>
          <w:t xml:space="preserve">https://doi.org/10.1139/cjfas-2017-0266</w:t>
        </w:r>
      </w:hyperlink>
      <w:r>
        <w:t xml:space="preserve">.</w:t>
      </w:r>
    </w:p>
    <w:bookmarkEnd w:id="212"/>
    <w:bookmarkStart w:id="214"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3">
        <w:r>
          <w:rPr>
            <w:rStyle w:val="Hyperlink"/>
          </w:rPr>
          <w:t xml:space="preserve">https://doi.org/10.1002/lno.11238</w:t>
        </w:r>
      </w:hyperlink>
      <w:r>
        <w:t xml:space="preserve">.</w:t>
      </w:r>
    </w:p>
    <w:bookmarkEnd w:id="214"/>
    <w:bookmarkStart w:id="215"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5"/>
    <w:bookmarkStart w:id="217"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16">
        <w:r>
          <w:rPr>
            <w:rStyle w:val="Hyperlink"/>
          </w:rPr>
          <w:t xml:space="preserve">https://doi.org/10.1016/j.fishres.2015.11.016</w:t>
        </w:r>
      </w:hyperlink>
      <w:r>
        <w:t xml:space="preserve">.</w:t>
      </w:r>
    </w:p>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3" Target="media/rId173.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2025-05-06T12:36:35Z</dcterms:created>
  <dcterms:modified xsi:type="dcterms:W3CDTF">2025-05-06T12:36:35Z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reference-docx">
    <vt:lpwstr>../template.docx</vt:lpwstr>
  </property>
  <property fmtid="{D5CDD505-2E9C-101B-9397-08002B2CF9AE}" pid="16" name="subtitle">
    <vt:lpwstr>May 2025, CIE review</vt:lpwstr>
  </property>
  <property fmtid="{D5CDD505-2E9C-101B-9397-08002B2CF9AE}" pid="17" name="toc-title">
    <vt:lpwstr>Table of contents</vt:lpwstr>
  </property>
</Properties>
</file>