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5.png" ContentType="image/png"/>
  <Override PartName="/word/media/rId149.png" ContentType="image/png"/>
  <Override PartName="/word/media/rId153.png" ContentType="image/png"/>
  <Override PartName="/word/media/rId113.png" ContentType="image/png"/>
  <Override PartName="/word/media/rId117.png" ContentType="image/png"/>
  <Override PartName="/word/media/rId137.png" ContentType="image/png"/>
  <Override PartName="/word/media/rId141.png" ContentType="image/png"/>
  <Override PartName="/word/media/rId123.png" ContentType="image/png"/>
  <Override PartName="/word/media/rId127.png" ContentType="image/png"/>
  <Override PartName="/word/media/rId131.png" ContentType="image/png"/>
  <Override PartName="/word/media/rId158.png" ContentType="image/png"/>
  <Override PartName="/word/media/rId162.png" ContentType="image/png"/>
  <Override PartName="/word/media/rId166.png" ContentType="image/png"/>
  <Override PartName="/word/media/rId97.png" ContentType="image/png"/>
  <Override PartName="/word/media/rId109.png" ContentType="image/png"/>
  <Override PartName="/word/media/rId101.png" ContentType="image/png"/>
  <Override PartName="/word/media/rId105.png" ContentType="image/png"/>
  <Override PartName="/word/media/rId47.png" ContentType="image/png"/>
  <Override PartName="/word/media/rId173.png" ContentType="image/png"/>
  <Override PartName="/word/media/rId67.png" ContentType="image/png"/>
  <Override PartName="/word/media/rId63.png" ContentType="image/png"/>
  <Override PartName="/word/media/rId27.png" ContentType="image/png"/>
  <Override PartName="/word/media/rId23.png" ContentType="image/png"/>
  <Override PartName="/word/media/rId43.png" ContentType="image/png"/>
  <Override PartName="/word/media/rId59.png" ContentType="image/png"/>
  <Override PartName="/word/media/rId86.png" ContentType="image/png"/>
  <Override PartName="/word/media/rId90.png" ContentType="image/png"/>
  <Override PartName="/word/media/rId82.png" ContentType="image/png"/>
  <Override PartName="/word/media/rId78.png" ContentType="image/png"/>
  <Override PartName="/word/media/rId74.png" ContentType="image/png"/>
  <Override PartName="/word/media/rId55.png" ContentType="image/png"/>
  <Override PartName="/word/media/rId39.png" ContentType="image/png"/>
  <Override PartName="/word/media/rId35.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Discussion paper for CIE review of the eastern Bering Sea walleye pollock stock assessment</w:t>
      </w:r>
    </w:p>
    <w:p>
      <w:pPr>
        <w:pStyle w:val="Subtitle"/>
      </w:pPr>
      <w:r>
        <w:t xml:space="preserve">May 2025, CIE review</w:t>
      </w:r>
    </w:p>
    <w:p>
      <w:pPr>
        <w:pStyle w:val="Author"/>
      </w:pPr>
      <w:r>
        <w:t xml:space="preserve">Jim Ianelli, Carey McGilliard, Sofia Wassermann</w:t>
      </w:r>
    </w:p>
    <w:p>
      <w:pPr>
        <w:pStyle w:val="Date"/>
      </w:pPr>
      <w:r>
        <w:t xml:space="preserve">2025-05-01 00:00</w:t>
      </w:r>
    </w:p>
    <w:bookmarkStart w:id="20" w:name="executive-summary"/>
    <w:p>
      <w:pPr>
        <w:pStyle w:val="Heading1"/>
      </w:pPr>
      <w:r>
        <w:t xml:space="preserve">Executive Summary</w:t>
      </w:r>
    </w:p>
    <w:p>
      <w:pPr>
        <w:pStyle w:val="FirstParagraph"/>
      </w:pPr>
      <w:r>
        <w:t xml:space="preserve">The work presented below was based on the same data sets used in the 2024 assessment. The</w:t>
      </w:r>
      <w:r>
        <w:t xml:space="preserve"> </w:t>
      </w:r>
      <w:r>
        <w:t xml:space="preserve">first task was to update the model runs to include the 2023 data. The model runs were</w:t>
      </w:r>
      <w:r>
        <w:t xml:space="preserve"> </w:t>
      </w:r>
      <w:r>
        <w:t xml:space="preserve">updated and the results are presented below. The model runs were then used to compare the</w:t>
      </w:r>
      <w:r>
        <w:t xml:space="preserve"> </w:t>
      </w:r>
      <w:r>
        <w:t xml:space="preserve">FT-NIR data with the traditional data sources (BTS and ATS). The results of these</w:t>
      </w:r>
      <w:r>
        <w:t xml:space="preserve"> </w:t>
      </w:r>
      <w:r>
        <w:t xml:space="preserve">comparisons are presented below. The model fits to the data are presented in the tables at</w:t>
      </w:r>
      <w:r>
        <w:t xml:space="preserve"> </w:t>
      </w:r>
      <w:r>
        <w:t xml:space="preserve">the end of the document. The first section steers towards the R library used for</w:t>
      </w:r>
      <w:r>
        <w:t xml:space="preserve"> </w:t>
      </w:r>
      <w:r>
        <w:t xml:space="preserve">processing model results for EBS pollock. The second section presents the comparisons of</w:t>
      </w:r>
      <w:r>
        <w:t xml:space="preserve"> </w:t>
      </w:r>
      <w:r>
        <w:t xml:space="preserve">the FT-NIR data with the traditional data sources. The third section compares results of</w:t>
      </w:r>
      <w:r>
        <w:t xml:space="preserve"> </w:t>
      </w:r>
      <w:r>
        <w:t xml:space="preserve">different software platforms (e.g., SS3, CEA, and AMAK) for the assessment. The fourth</w:t>
      </w:r>
      <w:r>
        <w:t xml:space="preserve"> </w:t>
      </w:r>
      <w:r>
        <w:t xml:space="preserve">section shows results comparing newer model-based estimates from survey data.</w:t>
      </w:r>
    </w:p>
    <w:bookmarkEnd w:id="20"/>
    <w:bookmarkStart w:id="22" w:name="X43c370fe719e0d417cdbff5b5aceb1d23c13c17"/>
    <w:p>
      <w:pPr>
        <w:pStyle w:val="Heading1"/>
      </w:pPr>
      <w:r>
        <w:t xml:space="preserve">R Library for assessment compilations (ebswp)</w:t>
      </w:r>
    </w:p>
    <w:p>
      <w:pPr>
        <w:pStyle w:val="FirstParagraph"/>
      </w:pPr>
      <w:r>
        <w:t xml:space="preserve">The</w:t>
      </w:r>
      <w:r>
        <w:t xml:space="preserve"> </w:t>
      </w:r>
      <w:r>
        <w:rPr>
          <w:rStyle w:val="VerbatimChar"/>
        </w:rPr>
        <w:t xml:space="preserve">ebswp</w:t>
      </w:r>
      <w:r>
        <w:t xml:space="preserve"> </w:t>
      </w:r>
      <w:r>
        <w:t xml:space="preserve">library is a collection of functions for compiling and analyzing results from</w:t>
      </w:r>
      <w:r>
        <w:t xml:space="preserve"> </w:t>
      </w:r>
      <w:r>
        <w:t xml:space="preserve">the stock assessment models for the eastern Bering Sea walleye pollock (</w:t>
      </w:r>
      <w:r>
        <w:t xml:space="preserve">Ianelli (2025)</w:t>
      </w:r>
      <w:r>
        <w:t xml:space="preserve">). The</w:t>
      </w:r>
      <w:r>
        <w:t xml:space="preserve"> </w:t>
      </w:r>
      <w:r>
        <w:t xml:space="preserve">library is designed to work with the ADMB code and depends on a consistent format for the</w:t>
      </w:r>
      <w:r>
        <w:t xml:space="preserve"> </w:t>
      </w:r>
      <w:r>
        <w:t xml:space="preserve">report files generated. The link in the reference provides access to some notes on</w:t>
      </w:r>
      <w:r>
        <w:t xml:space="preserve"> </w:t>
      </w:r>
      <w:r>
        <w:t xml:space="preserve">applications as vignettes to the package (e.g., .</w:t>
      </w:r>
      <w:r>
        <w:t xml:space="preserve"> </w:t>
      </w:r>
      <w:hyperlink r:id="rId21">
        <w:r>
          <w:rPr>
            <w:rStyle w:val="Hyperlink"/>
          </w:rPr>
          <w:t xml:space="preserve">here</w:t>
        </w:r>
      </w:hyperlink>
      <w:r>
        <w:t xml:space="preserve">).</w:t>
      </w:r>
    </w:p>
    <w:bookmarkEnd w:id="22"/>
    <w:bookmarkStart w:id="72" w:name="X6497169b329e255a8992c0d93efd27c78ea6a6c"/>
    <w:p>
      <w:pPr>
        <w:pStyle w:val="Heading1"/>
      </w:pPr>
      <w:r>
        <w:t xml:space="preserve">Comparing FT-NIR compositions with traditional microscope age estimations</w:t>
      </w:r>
    </w:p>
    <w:p>
      <w:pPr>
        <w:pStyle w:val="FirstParagraph"/>
      </w:pPr>
      <w:r>
        <w:t xml:space="preserve">The fish age and growth lab at the AFSC have endeavored to expand on new technologies</w:t>
      </w:r>
      <w:r>
        <w:t xml:space="preserve"> </w:t>
      </w:r>
      <w:r>
        <w:t xml:space="preserve">(</w:t>
      </w:r>
      <w:r>
        <w:t xml:space="preserve">Helser et al. (2019)</w:t>
      </w:r>
      <w:r>
        <w:t xml:space="preserve">).</w:t>
      </w:r>
    </w:p>
    <w:bookmarkStart w:id="51" w:name="ft-nirs-data-consistency-comparisons"/>
    <w:p>
      <w:pPr>
        <w:pStyle w:val="Heading2"/>
      </w:pPr>
      <w:r>
        <w:t xml:space="preserve">FT-NIRS data consistency comparisons</w:t>
      </w:r>
    </w:p>
    <w:p>
      <w:pPr>
        <w:pStyle w:val="FirstParagraph"/>
      </w:pPr>
      <w:r>
        <w:t xml:space="preserve">Examining the abundance-at-age (for design-based estimates of the bottom-trawl age</w:t>
      </w:r>
      <w:r>
        <w:t xml:space="preserve"> </w:t>
      </w:r>
      <w:r>
        <w:t xml:space="preserve">compositions) we show that in general, the TMA estimates show a high level of consistency</w:t>
      </w:r>
      <w:r>
        <w:t xml:space="preserve"> </w:t>
      </w:r>
      <w:r>
        <w:t xml:space="preserve">by cohort (</w:t>
      </w:r>
      <w:hyperlink w:anchor="fig-consisTMA">
        <w:r>
          <w:rPr>
            <w:rStyle w:val="Hyperlink"/>
          </w:rPr>
          <w:t xml:space="preserve">Figure 1</w:t>
        </w:r>
      </w:hyperlink>
      <w:r>
        <w:t xml:space="preserve">). For these same data, when applied to the FTNIRs age-estimation</w:t>
      </w:r>
      <w:r>
        <w:t xml:space="preserve"> </w:t>
      </w:r>
      <w:r>
        <w:t xml:space="preserve">method, the consistency was lower (</w:t>
      </w:r>
      <w:hyperlink w:anchor="fig-consisFTN">
        <w:r>
          <w:rPr>
            <w:rStyle w:val="Hyperlink"/>
          </w:rPr>
          <w:t xml:space="preserve">Figure 2</w:t>
        </w:r>
      </w:hyperlink>
      <w:r>
        <w:t xml:space="preserve">). The extent that this is a concern is</w:t>
      </w:r>
      <w:r>
        <w:t xml:space="preserve"> </w:t>
      </w:r>
      <w:r>
        <w:t xml:space="preserve">unknown.</w:t>
      </w:r>
    </w:p>
    <w:tbl>
      <w:tblPr>
        <w:tblStyle w:val="Table"/>
        <w:tblW w:type="pct" w:w="5000"/>
        <w:tblLayout w:type="fixed"/>
        <w:tblLook w:firstRow="0" w:lastRow="0" w:firstColumn="0" w:lastColumn="0" w:noHBand="0" w:noVBand="0" w:val="0000"/>
      </w:tblPr>
      <w:tblGrid>
        <w:gridCol w:w="7920"/>
      </w:tblGrid>
      <w:tr>
        <w:tc>
          <w:tcPr/>
          <w:bookmarkStart w:id="26" w:name="fig-consisTMA"/>
          <w:p>
            <w:pPr>
              <w:pStyle w:val="Compact"/>
              <w:jc w:val="center"/>
            </w:pPr>
            <w:r>
              <w:drawing>
                <wp:inline>
                  <wp:extent cx="5334000" cy="4912294"/>
                  <wp:effectExtent b="0" l="0" r="0" t="0"/>
                  <wp:docPr descr="" title="" id="24" name="Picture"/>
                  <a:graphic>
                    <a:graphicData uri="http://schemas.openxmlformats.org/drawingml/2006/picture">
                      <pic:pic>
                        <pic:nvPicPr>
                          <pic:cNvPr descr="figs/consisTMA.png" id="25" name="Picture"/>
                          <pic:cNvPicPr>
                            <a:picLocks noChangeArrowheads="1" noChangeAspect="1"/>
                          </pic:cNvPicPr>
                        </pic:nvPicPr>
                        <pic:blipFill>
                          <a:blip r:embed="rId23"/>
                          <a:stretch>
                            <a:fillRect/>
                          </a:stretch>
                        </pic:blipFill>
                        <pic:spPr bwMode="auto">
                          <a:xfrm>
                            <a:off x="0" y="0"/>
                            <a:ext cx="5334000" cy="4912294"/>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Cohort consistency over different ages based on log-abundance from the bottom-trawl survey data for pollock in recent years for traditional microscope age estimates. The cohorts are shown in the labels.</w:t>
            </w:r>
          </w:p>
          <w:bookmarkEnd w:id="26"/>
        </w:tc>
      </w:tr>
    </w:tbl>
    <w:tbl>
      <w:tblPr>
        <w:tblStyle w:val="Table"/>
        <w:tblW w:type="pct" w:w="5000"/>
        <w:tblLayout w:type="fixed"/>
        <w:tblLook w:firstRow="0" w:lastRow="0" w:firstColumn="0" w:lastColumn="0" w:noHBand="0" w:noVBand="0" w:val="0000"/>
      </w:tblPr>
      <w:tblGrid>
        <w:gridCol w:w="7920"/>
      </w:tblGrid>
      <w:tr>
        <w:tc>
          <w:tcPr/>
          <w:bookmarkStart w:id="30" w:name="fig-consisFTN"/>
          <w:p>
            <w:pPr>
              <w:pStyle w:val="Compact"/>
              <w:jc w:val="center"/>
            </w:pPr>
            <w:r>
              <w:drawing>
                <wp:inline>
                  <wp:extent cx="5334000" cy="4912294"/>
                  <wp:effectExtent b="0" l="0" r="0" t="0"/>
                  <wp:docPr descr="" title="" id="28" name="Picture"/>
                  <a:graphic>
                    <a:graphicData uri="http://schemas.openxmlformats.org/drawingml/2006/picture">
                      <pic:pic>
                        <pic:nvPicPr>
                          <pic:cNvPr descr="figs/consisFTN.png" id="29" name="Picture"/>
                          <pic:cNvPicPr>
                            <a:picLocks noChangeArrowheads="1" noChangeAspect="1"/>
                          </pic:cNvPicPr>
                        </pic:nvPicPr>
                        <pic:blipFill>
                          <a:blip r:embed="rId27"/>
                          <a:stretch>
                            <a:fillRect/>
                          </a:stretch>
                        </pic:blipFill>
                        <pic:spPr bwMode="auto">
                          <a:xfrm>
                            <a:off x="0" y="0"/>
                            <a:ext cx="5334000" cy="4912294"/>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Cohort consistency over different ages based on log-abundance from the bottom-trawl survey data for pollock in recent years for FTNIRs age estimates. The cohorts are shown in the labels.</w:t>
            </w:r>
          </w:p>
          <w:bookmarkEnd w:id="30"/>
        </w:tc>
      </w:tr>
    </w:tbl>
    <w:p>
      <w:pPr>
        <w:pStyle w:val="BodyText"/>
      </w:pPr>
      <w:r>
        <w:t xml:space="preserve">When preparing the data for the assessment, we plotted out the proportions-at-age for the</w:t>
      </w:r>
      <w:r>
        <w:t xml:space="preserve"> </w:t>
      </w:r>
      <w:r>
        <w:t xml:space="preserve">TMA data and noted the differences in the estimates using the FTNIRs age estimates</w:t>
      </w:r>
      <w:r>
        <w:t xml:space="preserve"> </w:t>
      </w:r>
      <w:r>
        <w:t xml:space="preserve">(</w:t>
      </w:r>
      <w:hyperlink w:anchor="fig-proportionsFSH">
        <w:r>
          <w:rPr>
            <w:rStyle w:val="Hyperlink"/>
          </w:rPr>
          <w:t xml:space="preserve">Figure 3</w:t>
        </w:r>
      </w:hyperlink>
      <w:r>
        <w:t xml:space="preserve">,</w:t>
      </w:r>
      <w:r>
        <w:t xml:space="preserve"> </w:t>
      </w:r>
      <w:hyperlink w:anchor="fig-proportionsBTS">
        <w:r>
          <w:rPr>
            <w:rStyle w:val="Hyperlink"/>
          </w:rPr>
          <w:t xml:space="preserve">Figure 4</w:t>
        </w:r>
      </w:hyperlink>
      <w:r>
        <w:t xml:space="preserve">, and</w:t>
      </w:r>
      <w:r>
        <w:t xml:space="preserve"> </w:t>
      </w:r>
      <w:hyperlink w:anchor="fig-proportionsATS">
        <w:r>
          <w:rPr>
            <w:rStyle w:val="Hyperlink"/>
          </w:rPr>
          <w:t xml:space="preserve">Figure 5</w:t>
        </w:r>
      </w:hyperlink>
      <w:r>
        <w:t xml:space="preserve">). Other preparations</w:t>
      </w:r>
      <w:r>
        <w:t xml:space="preserve"> </w:t>
      </w:r>
      <w:r>
        <w:t xml:space="preserve">involved estimating the age-determination errors for each method following that of</w:t>
      </w:r>
      <w:r>
        <w:t xml:space="preserve"> </w:t>
      </w:r>
      <w:r>
        <w:t xml:space="preserve">Punt et al. (2008)</w:t>
      </w:r>
      <w:r>
        <w:t xml:space="preserve">. For the FTNIRs data, we optionally estimated separate age-estimation error</w:t>
      </w:r>
      <w:r>
        <w:t xml:space="preserve"> </w:t>
      </w:r>
      <w:r>
        <w:t xml:space="preserve">matrices by gear type. The appearance of the fleet-aggregated and fleet-specific input</w:t>
      </w:r>
      <w:r>
        <w:t xml:space="preserve"> </w:t>
      </w:r>
      <w:r>
        <w:t xml:space="preserve">data files is shown in</w:t>
      </w:r>
      <w:r>
        <w:t xml:space="preserve"> </w:t>
      </w:r>
      <w:hyperlink w:anchor="fig-dataFile">
        <w:r>
          <w:rPr>
            <w:rStyle w:val="Hyperlink"/>
          </w:rPr>
          <w:t xml:space="preserve">Figure 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4" w:name="fig-proportionsFSH"/>
          <w:p>
            <w:pPr>
              <w:pStyle w:val="Compact"/>
              <w:jc w:val="center"/>
            </w:pPr>
            <w:r>
              <w:drawing>
                <wp:inline>
                  <wp:extent cx="5334000" cy="4661551"/>
                  <wp:effectExtent b="0" l="0" r="0" t="0"/>
                  <wp:docPr descr="" title="" id="32" name="Picture"/>
                  <a:graphic>
                    <a:graphicData uri="http://schemas.openxmlformats.org/drawingml/2006/picture">
                      <pic:pic>
                        <pic:nvPicPr>
                          <pic:cNvPr descr="figs/proportionsFSH.png" id="33" name="Picture"/>
                          <pic:cNvPicPr>
                            <a:picLocks noChangeArrowheads="1" noChangeAspect="1"/>
                          </pic:cNvPicPr>
                        </pic:nvPicPr>
                        <pic:blipFill>
                          <a:blip r:embed="rId31"/>
                          <a:stretch>
                            <a:fillRect/>
                          </a:stretch>
                        </pic:blipFill>
                        <pic:spPr bwMode="auto">
                          <a:xfrm>
                            <a:off x="0" y="0"/>
                            <a:ext cx="5334000" cy="4661551"/>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Proportions at age for recent years for the fishery data where the columns represent the traditional microscope age estimates (TMA) compared to the FTNIRs age estimates (lines for the red-outlined panels).</w:t>
            </w:r>
          </w:p>
          <w:bookmarkEnd w:id="34"/>
        </w:tc>
      </w:tr>
    </w:tbl>
    <w:tbl>
      <w:tblPr>
        <w:tblStyle w:val="Table"/>
        <w:tblW w:type="pct" w:w="5000"/>
        <w:tblLayout w:type="fixed"/>
        <w:tblLook w:firstRow="0" w:lastRow="0" w:firstColumn="0" w:lastColumn="0" w:noHBand="0" w:noVBand="0" w:val="0000"/>
      </w:tblPr>
      <w:tblGrid>
        <w:gridCol w:w="7920"/>
      </w:tblGrid>
      <w:tr>
        <w:tc>
          <w:tcPr/>
          <w:bookmarkStart w:id="38" w:name="fig-proportionsBTS"/>
          <w:p>
            <w:pPr>
              <w:pStyle w:val="Compact"/>
              <w:jc w:val="center"/>
            </w:pPr>
            <w:r>
              <w:drawing>
                <wp:inline>
                  <wp:extent cx="5334000" cy="4615961"/>
                  <wp:effectExtent b="0" l="0" r="0" t="0"/>
                  <wp:docPr descr="" title="" id="36" name="Picture"/>
                  <a:graphic>
                    <a:graphicData uri="http://schemas.openxmlformats.org/drawingml/2006/picture">
                      <pic:pic>
                        <pic:nvPicPr>
                          <pic:cNvPr descr="figs/proportionsBTS.png" id="37" name="Picture"/>
                          <pic:cNvPicPr>
                            <a:picLocks noChangeArrowheads="1" noChangeAspect="1"/>
                          </pic:cNvPicPr>
                        </pic:nvPicPr>
                        <pic:blipFill>
                          <a:blip r:embed="rId35"/>
                          <a:stretch>
                            <a:fillRect/>
                          </a:stretch>
                        </pic:blipFill>
                        <pic:spPr bwMode="auto">
                          <a:xfrm>
                            <a:off x="0" y="0"/>
                            <a:ext cx="5334000" cy="4615961"/>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Proportions at age for recent years for the bottom-trawl survey data where the columns represent the traditional microscope age estimates (TMA) compared to the FTNIRs age estimates (lines for the red-outlined panels).</w:t>
            </w:r>
          </w:p>
          <w:bookmarkEnd w:id="38"/>
        </w:tc>
      </w:tr>
    </w:tbl>
    <w:tbl>
      <w:tblPr>
        <w:tblStyle w:val="Table"/>
        <w:tblW w:type="pct" w:w="5000"/>
        <w:tblLayout w:type="fixed"/>
        <w:tblLook w:firstRow="0" w:lastRow="0" w:firstColumn="0" w:lastColumn="0" w:noHBand="0" w:noVBand="0" w:val="0000"/>
      </w:tblPr>
      <w:tblGrid>
        <w:gridCol w:w="7920"/>
      </w:tblGrid>
      <w:tr>
        <w:tc>
          <w:tcPr/>
          <w:bookmarkStart w:id="42" w:name="fig-proportionsATS"/>
          <w:p>
            <w:pPr>
              <w:pStyle w:val="Compact"/>
              <w:jc w:val="center"/>
            </w:pPr>
            <w:r>
              <w:drawing>
                <wp:inline>
                  <wp:extent cx="5334000" cy="4501987"/>
                  <wp:effectExtent b="0" l="0" r="0" t="0"/>
                  <wp:docPr descr="" title="" id="40" name="Picture"/>
                  <a:graphic>
                    <a:graphicData uri="http://schemas.openxmlformats.org/drawingml/2006/picture">
                      <pic:pic>
                        <pic:nvPicPr>
                          <pic:cNvPr descr="figs/proportionsATS.png" id="41" name="Picture"/>
                          <pic:cNvPicPr>
                            <a:picLocks noChangeArrowheads="1" noChangeAspect="1"/>
                          </pic:cNvPicPr>
                        </pic:nvPicPr>
                        <pic:blipFill>
                          <a:blip r:embed="rId39"/>
                          <a:stretch>
                            <a:fillRect/>
                          </a:stretch>
                        </pic:blipFill>
                        <pic:spPr bwMode="auto">
                          <a:xfrm>
                            <a:off x="0" y="0"/>
                            <a:ext cx="5334000" cy="4501987"/>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Proportions at age for recent years for the acoustic-trawl survey data where the columns represent the traditional microscope age estimates (TMA) compared to the FTNIRs age estimates (lines for the red-outlined panels).</w:t>
            </w:r>
          </w:p>
          <w:bookmarkEnd w:id="42"/>
        </w:tc>
      </w:tr>
    </w:tbl>
    <w:tbl>
      <w:tblPr>
        <w:tblStyle w:val="Table"/>
        <w:tblW w:type="pct" w:w="5000"/>
        <w:tblLayout w:type="fixed"/>
        <w:tblLook w:firstRow="0" w:lastRow="0" w:firstColumn="0" w:lastColumn="0" w:noHBand="0" w:noVBand="0" w:val="0000"/>
      </w:tblPr>
      <w:tblGrid>
        <w:gridCol w:w="7920"/>
      </w:tblGrid>
      <w:tr>
        <w:tc>
          <w:tcPr/>
          <w:bookmarkStart w:id="46" w:name="fig-dataFile"/>
          <w:p>
            <w:pPr>
              <w:pStyle w:val="Compact"/>
              <w:jc w:val="center"/>
            </w:pPr>
            <w:r>
              <w:drawing>
                <wp:inline>
                  <wp:extent cx="3222780" cy="4898114"/>
                  <wp:effectExtent b="0" l="0" r="0" t="0"/>
                  <wp:docPr descr="" title="" id="44" name="Picture"/>
                  <a:graphic>
                    <a:graphicData uri="http://schemas.openxmlformats.org/drawingml/2006/picture">
                      <pic:pic>
                        <pic:nvPicPr>
                          <pic:cNvPr descr="figs/dataFile.png" id="45" name="Picture"/>
                          <pic:cNvPicPr>
                            <a:picLocks noChangeArrowheads="1" noChangeAspect="1"/>
                          </pic:cNvPicPr>
                        </pic:nvPicPr>
                        <pic:blipFill>
                          <a:blip r:embed="rId43"/>
                          <a:stretch>
                            <a:fillRect/>
                          </a:stretch>
                        </pic:blipFill>
                        <pic:spPr bwMode="auto">
                          <a:xfrm>
                            <a:off x="0" y="0"/>
                            <a:ext cx="3222780" cy="4898114"/>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Schematic of input datafile showing the breakout of the fleet-specific FTNIRs age-error matrices (right panel) compared to that where the global FTNIRs age-error matrices are used (left panel).</w:t>
            </w:r>
          </w:p>
          <w:bookmarkEnd w:id="46"/>
        </w:tc>
      </w:tr>
    </w:tbl>
    <w:p>
      <w:pPr>
        <w:pStyle w:val="BodyText"/>
      </w:pPr>
      <w:r>
        <w:t xml:space="preserve">For the assessment model, the alternatives are shown based on the coverage of data and</w:t>
      </w:r>
      <w:r>
        <w:t xml:space="preserve"> </w:t>
      </w:r>
      <w:r>
        <w:t xml:space="preserve">availability among types of ageing is shown in</w:t>
      </w:r>
      <w:r>
        <w:t xml:space="preserve"> </w:t>
      </w:r>
      <w:hyperlink w:anchor="fig-dataExtent">
        <w:r>
          <w:rPr>
            <w:rStyle w:val="Hyperlink"/>
          </w:rPr>
          <w:t xml:space="preserve">Figure 7</w:t>
        </w:r>
      </w:hyperlink>
      <w:r>
        <w:t xml:space="preserve">. These figures are intended</w:t>
      </w:r>
      <w:r>
        <w:t xml:space="preserve"> </w:t>
      </w:r>
      <w:r>
        <w:t xml:space="preserve">to show what data are available for the model testing and the different ways of treating</w:t>
      </w:r>
      <w:r>
        <w:t xml:space="preserve"> </w:t>
      </w:r>
      <w:r>
        <w:t xml:space="preserve">age determination error matrices.</w:t>
      </w:r>
    </w:p>
    <w:tbl>
      <w:tblPr>
        <w:tblStyle w:val="Table"/>
        <w:tblW w:type="pct" w:w="5000"/>
        <w:tblLayout w:type="fixed"/>
        <w:tblLook w:firstRow="0" w:lastRow="0" w:firstColumn="0" w:lastColumn="0" w:noHBand="0" w:noVBand="0" w:val="0000"/>
      </w:tblPr>
      <w:tblGrid>
        <w:gridCol w:w="7920"/>
      </w:tblGrid>
      <w:tr>
        <w:tc>
          <w:tcPr/>
          <w:bookmarkStart w:id="50" w:name="fig-dataExtent"/>
          <w:p>
            <w:pPr>
              <w:pStyle w:val="Compact"/>
              <w:jc w:val="center"/>
            </w:pPr>
            <w:r>
              <w:drawing>
                <wp:inline>
                  <wp:extent cx="5334000" cy="2963333"/>
                  <wp:effectExtent b="0" l="0" r="0" t="0"/>
                  <wp:docPr descr="" title="" id="48" name="Picture"/>
                  <a:graphic>
                    <a:graphicData uri="http://schemas.openxmlformats.org/drawingml/2006/picture">
                      <pic:pic>
                        <pic:nvPicPr>
                          <pic:cNvPr descr="figs/DataExtent.png" id="49" name="Picture"/>
                          <pic:cNvPicPr>
                            <a:picLocks noChangeArrowheads="1" noChangeAspect="1"/>
                          </pic:cNvPicPr>
                        </pic:nvPicPr>
                        <pic:blipFill>
                          <a:blip r:embed="rId47"/>
                          <a:stretch>
                            <a:fillRect/>
                          </a:stretch>
                        </pic:blipFill>
                        <pic:spPr bwMode="auto">
                          <a:xfrm>
                            <a:off x="0" y="0"/>
                            <a:ext cx="5334000" cy="2963333"/>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Data extent by age composition for the models with FTNIRs age estimates. The data types are for the Fishery, bottom trawl survey (BTS), and acoustic trawl survey (ATS) and the years of coverage are shown in the x-axis.</w:t>
            </w:r>
          </w:p>
          <w:bookmarkEnd w:id="50"/>
        </w:tc>
      </w:tr>
    </w:tbl>
    <w:bookmarkEnd w:id="51"/>
    <w:bookmarkStart w:id="71" w:name="comparisons-of-fit-to-ft-nirs-models"/>
    <w:p>
      <w:pPr>
        <w:pStyle w:val="Heading2"/>
      </w:pPr>
      <w:r>
        <w:t xml:space="preserve">Comparisons of fit to FT-NIRS models</w:t>
      </w:r>
    </w:p>
    <w:p>
      <w:pPr>
        <w:pStyle w:val="FirstParagraph"/>
      </w:pPr>
      <w:r>
        <w:t xml:space="preserve">The layout of model runs comparing the traditional microscope ages (TMA) with the FT-NIRS</w:t>
      </w:r>
      <w:r>
        <w:t xml:space="preserve"> </w:t>
      </w:r>
      <w:r>
        <w:t xml:space="preserve">ages is shown in</w:t>
      </w:r>
      <w:r>
        <w:t xml:space="preserve"> </w:t>
      </w:r>
      <w:hyperlink w:anchor="tbl-ftn_runs">
        <w:r>
          <w:rPr>
            <w:rStyle w:val="Hyperlink"/>
          </w:rPr>
          <w:t xml:space="preserve">Table 1</w:t>
        </w:r>
      </w:hyperlink>
      <w:r>
        <w:t xml:space="preserve">. The models are run with the FT-NIRS data with different</w:t>
      </w:r>
      <w:r>
        <w:t xml:space="preserve"> </w:t>
      </w:r>
      <w:r>
        <w:t xml:space="preserve">age-error matrix specficiations. The model fits to the data are shown in</w:t>
      </w:r>
      <w:r>
        <w:t xml:space="preserve"> </w:t>
      </w:r>
      <w:hyperlink w:anchor="tbl-modfits">
        <w:r>
          <w:rPr>
            <w:rStyle w:val="Hyperlink"/>
          </w:rPr>
          <w:t xml:space="preserve">Table 2</w:t>
        </w:r>
      </w:hyperlink>
      <w:r>
        <w:t xml:space="preserve">. The</w:t>
      </w:r>
      <w:r>
        <w:t xml:space="preserve"> </w:t>
      </w:r>
      <w:r>
        <w:t xml:space="preserve">table shows the goodness-of-fit</w:t>
      </w:r>
    </w:p>
    <w:tbl>
      <w:tblPr>
        <w:tblStyle w:val="Table"/>
        <w:tblW w:type="pct" w:w="5000"/>
        <w:tblLayout w:type="fixed"/>
        <w:tblLook w:firstRow="0" w:lastRow="0" w:firstColumn="0" w:lastColumn="0" w:noHBand="0" w:noVBand="0" w:val="0000"/>
      </w:tblPr>
      <w:tblGrid>
        <w:gridCol w:w="7920"/>
      </w:tblGrid>
      <w:tr>
        <w:tc>
          <w:tcPr/>
          <w:bookmarkStart w:id="52" w:name="tbl-ftn_runs"/>
          <w:p>
            <w:pPr>
              <w:jc w:val="center"/>
            </w:pPr>
            <w:pPr>
              <w:jc w:val="start"/>
              <w:spacing w:before="200"/>
              <w:pStyle w:val="ImageCaption"/>
            </w:pPr>
            <w:r>
              <w:t xml:space="preserve">Table 1: Configuration of different model options testing the impact of different treatment of the age composition data and ageing error.</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end w:val="single" w:space="0" w:color="D3D3D3"/>
                  </w:tcBorders>
                  <w:gridSpan w:val="2"/>
                </w:tcPr>
                <w:p>
                  <w:pPr>
                    <w:spacing w:before="0" w:after="60"/>
                    <w:keepNext/>
                    <w:jc w:val="center"/>
                  </w:pPr>
                  <w:r>
                    <w:rPr>
                      <w:rFonts w:ascii="Calibri" w:hAnsi="Calibri"/>
                      <w:sz w:val="20"/>
                    </w:rPr>
                    <w:t xml:space="default">Model description</w:t>
                  </w:r>
                </w:p>
              </w:tc>
            </w:tr>
            <w:tr>
              <w:trPr>
                <w:cantSplit/>
                <w:tblHeader/>
              </w:trPr>
              <w:tc>
                <w:tcPr>
                  <w:tcBorders>
                    <w:bottom w:val="single" w:sz="16" w:space="0" w:color="D3D3D3"/>
                    <w:start w:val="single" w:space="0" w:color="D3D3D3"/>
                  </w:tcBorders>
                </w:tcPr>
                <w:p>
                  <w:pPr>
                    <w:spacing w:before="0" w:after="60"/>
                    <w:keepNext/>
                    <w:jc w:val="center"/>
                  </w:pPr>
                  <w:r>
                    <w:rPr>
                      <w:rFonts w:ascii="Calibri" w:hAnsi="Calibri"/>
                      <w:sz w:val="20"/>
                    </w:rPr>
                    <w:t xml:space="default">Name</w:t>
                  </w:r>
                </w:p>
              </w:tc>
              <w:tc>
                <w:tcPr>
                  <w:tcBorders>
                    <w:bottom w:val="single" w:sz="16" w:space="0" w:color="D3D3D3"/>
                  </w:tcBorders>
                </w:tcPr>
                <w:p>
                  <w:pPr>
                    <w:spacing w:before="0" w:after="60"/>
                    <w:keepNext/>
                    <w:jc w:val="center"/>
                  </w:pPr>
                  <w:r>
                    <w:rPr>
                      <w:rFonts w:ascii="Calibri" w:hAnsi="Calibri"/>
                      <w:sz w:val="20"/>
                    </w:rPr>
                    <w:t xml:space="default">Age type</w:t>
                  </w:r>
                </w:p>
              </w:tc>
              <w:tc>
                <w:tcPr>
                  <w:tcBorders>
                    <w:bottom w:val="single" w:sz="16" w:space="0" w:color="D3D3D3"/>
                    <w:end w:val="single" w:space="0" w:color="D3D3D3"/>
                  </w:tcBorders>
                </w:tcPr>
                <w:p>
                  <w:pPr>
                    <w:spacing w:before="0" w:after="60"/>
                    <w:keepNext/>
                    <w:jc w:val="center"/>
                  </w:pPr>
                  <w:r>
                    <w:rPr>
                      <w:rFonts w:ascii="Calibri" w:hAnsi="Calibri"/>
                      <w:sz w:val="20"/>
                    </w:rPr>
                    <w:t xml:space="default">Age-error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Global TMA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FT-NIR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TMA + FT-NIR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Global TMA, global FT-NIR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FT-NIR 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TMA + FT-NIR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Global TMA, disaggregated FT-NIR</w:t>
                  </w:r>
                </w:p>
              </w:tc>
            </w:tr>
          </w:tbl>
          <w:bookmarkEnd w:id="52"/>
        </w:tc>
      </w:tr>
    </w:tbl>
    <w:tbl>
      <w:tblPr>
        <w:tblStyle w:val="Table"/>
        <w:tblW w:type="pct" w:w="5000"/>
        <w:tblLayout w:type="fixed"/>
        <w:tblLook w:firstRow="0" w:lastRow="0" w:firstColumn="0" w:lastColumn="0" w:noHBand="0" w:noVBand="0" w:val="0000"/>
      </w:tblPr>
      <w:tblGrid>
        <w:gridCol w:w="7920"/>
      </w:tblGrid>
      <w:tr>
        <w:tc>
          <w:tcPr/>
          <w:bookmarkStart w:id="53" w:name="tbl-modfits"/>
          <w:p>
            <w:pPr>
              <w:jc w:val="center"/>
            </w:pPr>
            <w:pPr>
              <w:jc w:val="start"/>
              <w:spacing w:before="200"/>
              <w:pStyle w:val="ImageCaption"/>
            </w:pPr>
            <w:r>
              <w:t xml:space="preserve">Table 2: Goodness-of-fit measures to primary data for different data and age-error applications. RMSE=root-mean square log errors, NLL=negative log-likelihood, SDNR=standard deviation of normalized residuals, Eff. N=effective sample size for composition data). See text for incremental model descriptions.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Component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Base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FT-NIR fleets aggregated</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FT-NIR fleet-specific</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RMSE BTS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RMSE ATS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RMSE AVO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RMSE CPUE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SDNR BTS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SDNR ATS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SDNR AVO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 N Fishery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 N BTS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 N ATS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Catch NLL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BTS NLL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ATS NLL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ATS Age1 NLL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AVO NLL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 Age NLL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BTS Age NLL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ATS Age NLL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NLL selectivity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NLL Priors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Data NLL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Total NLL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1110.900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1298.930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1332.810</w:t>
                  </w:r>
                </w:p>
              </w:tc>
            </w:tr>
          </w:tbl>
          <w:bookmarkEnd w:id="5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4" w:name="tbl-ftn_ref"/>
          <w:p>
            <w:pPr>
              <w:jc w:val="center"/>
            </w:pPr>
            <w:pPr>
              <w:jc w:val="start"/>
              <w:spacing w:before="200"/>
              <w:pStyle w:val="ImageCaption"/>
            </w:pPr>
            <w:r>
              <w:t xml:space="preserve">Table 3: Goodness-of-fit measures to primary data for different data and age-error applications. RMSE=root-mean square log errors, NLL=negative log-likelihood, SDNR=standard deviation of normalized residuals, Eff. N=effective sample size for composition data). See text for incremental model descriptions.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Component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Base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FT-NIR fleets aggregated</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FT-NIR fleet-specific</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${B}_{2025}$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2,800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2,500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2,700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$CV_{B_{2025}}$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$B_{MSY}$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1,667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1,652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1,670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$CV_{B_{MSY}}$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${B}</w:t>
                  </w:r>
                  <w:r>
                    <w:rPr>
                      <w:i/>
                      <w:rFonts w:ascii="Calibri" w:hAnsi="Calibri"/>
                      <w:sz w:val="20"/>
                    </w:rPr>
                    <w:t xml:space="preserve">{2025}/B</w:t>
                  </w:r>
                  <w:r>
                    <w:rPr>
                      <w:rFonts w:ascii="Calibri" w:hAnsi="Calibri"/>
                      <w:sz w:val="20"/>
                    </w:rPr>
                    <w:t xml:space="preserve">{MSY}$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$B_0$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4,318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4,360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4,436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$B_{35%}$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1,935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1,898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1,931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SPR rate at $F_{MSY}$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Steepness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Est. $B_{2024} / B_{2024,no fishing}$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$B_{2024} / B_{MSY}$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178%</w:t>
                  </w:r>
                </w:p>
              </w:tc>
            </w:tr>
          </w:tbl>
          <w:bookmarkEnd w:id="54"/>
        </w:tc>
      </w:tr>
    </w:tbl>
    <w:tbl>
      <w:tblPr>
        <w:tblStyle w:val="Table"/>
        <w:tblW w:type="pct" w:w="5000"/>
        <w:tblLayout w:type="fixed"/>
        <w:tblLook w:firstRow="0" w:lastRow="0" w:firstColumn="0" w:lastColumn="0" w:noHBand="0" w:noVBand="0" w:val="0000"/>
      </w:tblPr>
      <w:tblGrid>
        <w:gridCol w:w="7920"/>
      </w:tblGrid>
      <w:tr>
        <w:tc>
          <w:tcPr/>
          <w:bookmarkStart w:id="58" w:name="fig-mod_fit_agg_comp"/>
          <w:p>
            <w:pPr>
              <w:pStyle w:val="Compact"/>
              <w:jc w:val="center"/>
            </w:pPr>
            <w:r>
              <w:drawing>
                <wp:inline>
                  <wp:extent cx="5334000" cy="2845836"/>
                  <wp:effectExtent b="0" l="0" r="0" t="0"/>
                  <wp:docPr descr="" title="" id="56" name="Picture"/>
                  <a:graphic>
                    <a:graphicData uri="http://schemas.openxmlformats.org/drawingml/2006/picture">
                      <pic:pic>
                        <pic:nvPicPr>
                          <pic:cNvPr descr="figs/mod_fit_agg_comp.png" id="57" name="Picture"/>
                          <pic:cNvPicPr>
                            <a:picLocks noChangeArrowheads="1" noChangeAspect="1"/>
                          </pic:cNvPicPr>
                        </pic:nvPicPr>
                        <pic:blipFill>
                          <a:blip r:embed="rId55"/>
                          <a:stretch>
                            <a:fillRect/>
                          </a:stretch>
                        </pic:blipFill>
                        <pic:spPr bwMode="auto">
                          <a:xfrm>
                            <a:off x="0" y="0"/>
                            <a:ext cx="5334000" cy="2845836"/>
                          </a:xfrm>
                          <a:prstGeom prst="rect">
                            <a:avLst/>
                          </a:prstGeom>
                          <a:noFill/>
                          <a:ln w="9525">
                            <a:noFill/>
                            <a:headEnd/>
                            <a:tailEnd/>
                          </a:ln>
                        </pic:spPr>
                      </pic:pic>
                    </a:graphicData>
                  </a:graphic>
                </wp:inline>
              </w:drawing>
            </w:r>
          </w:p>
          <w:p>
            <w:pPr>
              <w:jc w:val="center"/>
            </w:pPr>
            <w:pPr>
              <w:jc w:val="start"/>
              <w:spacing w:before="200"/>
              <w:pStyle w:val="ImageCaption"/>
            </w:pPr>
            <w:r>
              <w:t xml:space="preserve">Figure 8: One-step ahead residuals for different model specifications for the fishery composition data</w:t>
            </w:r>
          </w:p>
          <w:bookmarkEnd w:id="58"/>
        </w:tc>
      </w:tr>
    </w:tbl>
    <w:tbl>
      <w:tblPr>
        <w:tblStyle w:val="Table"/>
        <w:tblW w:type="pct" w:w="5000"/>
        <w:tblLayout w:type="fixed"/>
        <w:tblLook w:firstRow="0" w:lastRow="0" w:firstColumn="0" w:lastColumn="0" w:noHBand="0" w:noVBand="0" w:val="0000"/>
      </w:tblPr>
      <w:tblGrid>
        <w:gridCol w:w="7920"/>
      </w:tblGrid>
      <w:tr>
        <w:tc>
          <w:tcPr/>
          <w:bookmarkStart w:id="62" w:name="fig-bts_fish"/>
          <w:p>
            <w:pPr>
              <w:pStyle w:val="Compact"/>
              <w:jc w:val="center"/>
            </w:pPr>
            <w:r>
              <w:drawing>
                <wp:inline>
                  <wp:extent cx="5334000" cy="2720975"/>
                  <wp:effectExtent b="0" l="0" r="0" t="0"/>
                  <wp:docPr descr="" title="" id="60" name="Picture"/>
                  <a:graphic>
                    <a:graphicData uri="http://schemas.openxmlformats.org/drawingml/2006/picture">
                      <pic:pic>
                        <pic:nvPicPr>
                          <pic:cNvPr descr="figs/fish_osa.png" id="61" name="Picture"/>
                          <pic:cNvPicPr>
                            <a:picLocks noChangeArrowheads="1" noChangeAspect="1"/>
                          </pic:cNvPicPr>
                        </pic:nvPicPr>
                        <pic:blipFill>
                          <a:blip r:embed="rId59"/>
                          <a:stretch>
                            <a:fillRect/>
                          </a:stretch>
                        </pic:blipFill>
                        <pic:spPr bwMode="auto">
                          <a:xfrm>
                            <a:off x="0" y="0"/>
                            <a:ext cx="5334000" cy="2720975"/>
                          </a:xfrm>
                          <a:prstGeom prst="rect">
                            <a:avLst/>
                          </a:prstGeom>
                          <a:noFill/>
                          <a:ln w="9525">
                            <a:noFill/>
                            <a:headEnd/>
                            <a:tailEnd/>
                          </a:ln>
                        </pic:spPr>
                      </pic:pic>
                    </a:graphicData>
                  </a:graphic>
                </wp:inline>
              </w:drawing>
            </w:r>
          </w:p>
          <w:p>
            <w:pPr>
              <w:jc w:val="center"/>
            </w:pPr>
            <w:pPr>
              <w:jc w:val="start"/>
              <w:spacing w:before="200"/>
              <w:pStyle w:val="ImageCaption"/>
            </w:pPr>
            <w:r>
              <w:t xml:space="preserve">Figure 9: One-step ahead residuals for different model specifications for the fishery composition data</w:t>
            </w:r>
          </w:p>
          <w:bookmarkEnd w:id="62"/>
        </w:tc>
      </w:tr>
    </w:tbl>
    <w:tbl>
      <w:tblPr>
        <w:tblStyle w:val="Table"/>
        <w:tblW w:type="pct" w:w="5000"/>
        <w:tblLayout w:type="fixed"/>
        <w:tblLook w:firstRow="0" w:lastRow="0" w:firstColumn="0" w:lastColumn="0" w:noHBand="0" w:noVBand="0" w:val="0000"/>
      </w:tblPr>
      <w:tblGrid>
        <w:gridCol w:w="7920"/>
      </w:tblGrid>
      <w:tr>
        <w:tc>
          <w:tcPr/>
          <w:bookmarkStart w:id="66" w:name="fig-bts_osa"/>
          <w:p>
            <w:pPr>
              <w:pStyle w:val="Compact"/>
              <w:jc w:val="center"/>
            </w:pPr>
            <w:r>
              <w:drawing>
                <wp:inline>
                  <wp:extent cx="5334000" cy="2757516"/>
                  <wp:effectExtent b="0" l="0" r="0" t="0"/>
                  <wp:docPr descr="" title="" id="64" name="Picture"/>
                  <a:graphic>
                    <a:graphicData uri="http://schemas.openxmlformats.org/drawingml/2006/picture">
                      <pic:pic>
                        <pic:nvPicPr>
                          <pic:cNvPr descr="figs/bts_osa.png" id="65" name="Picture"/>
                          <pic:cNvPicPr>
                            <a:picLocks noChangeArrowheads="1" noChangeAspect="1"/>
                          </pic:cNvPicPr>
                        </pic:nvPicPr>
                        <pic:blipFill>
                          <a:blip r:embed="rId63"/>
                          <a:stretch>
                            <a:fillRect/>
                          </a:stretch>
                        </pic:blipFill>
                        <pic:spPr bwMode="auto">
                          <a:xfrm>
                            <a:off x="0" y="0"/>
                            <a:ext cx="5334000" cy="2757516"/>
                          </a:xfrm>
                          <a:prstGeom prst="rect">
                            <a:avLst/>
                          </a:prstGeom>
                          <a:noFill/>
                          <a:ln w="9525">
                            <a:noFill/>
                            <a:headEnd/>
                            <a:tailEnd/>
                          </a:ln>
                        </pic:spPr>
                      </pic:pic>
                    </a:graphicData>
                  </a:graphic>
                </wp:inline>
              </w:drawing>
            </w:r>
          </w:p>
          <w:p>
            <w:pPr>
              <w:jc w:val="center"/>
            </w:pPr>
            <w:pPr>
              <w:jc w:val="start"/>
              <w:spacing w:before="200"/>
              <w:pStyle w:val="ImageCaption"/>
            </w:pPr>
            <w:r>
              <w:t xml:space="preserve">Figure 10: One-step ahead residuals for different model specifications for the bottom-trawl survey composition data</w:t>
            </w:r>
          </w:p>
          <w:bookmarkEnd w:id="66"/>
        </w:tc>
      </w:tr>
    </w:tbl>
    <w:tbl>
      <w:tblPr>
        <w:tblStyle w:val="Table"/>
        <w:tblW w:type="pct" w:w="5000"/>
        <w:tblLayout w:type="fixed"/>
        <w:tblLook w:firstRow="0" w:lastRow="0" w:firstColumn="0" w:lastColumn="0" w:noHBand="0" w:noVBand="0" w:val="0000"/>
      </w:tblPr>
      <w:tblGrid>
        <w:gridCol w:w="7920"/>
      </w:tblGrid>
      <w:tr>
        <w:tc>
          <w:tcPr/>
          <w:bookmarkStart w:id="70" w:name="fig-ats_osa"/>
          <w:p>
            <w:pPr>
              <w:pStyle w:val="Compact"/>
              <w:jc w:val="center"/>
            </w:pPr>
            <w:r>
              <w:drawing>
                <wp:inline>
                  <wp:extent cx="5334000" cy="2714795"/>
                  <wp:effectExtent b="0" l="0" r="0" t="0"/>
                  <wp:docPr descr="" title="" id="68" name="Picture"/>
                  <a:graphic>
                    <a:graphicData uri="http://schemas.openxmlformats.org/drawingml/2006/picture">
                      <pic:pic>
                        <pic:nvPicPr>
                          <pic:cNvPr descr="figs/ats_osa.png" id="69" name="Picture"/>
                          <pic:cNvPicPr>
                            <a:picLocks noChangeArrowheads="1" noChangeAspect="1"/>
                          </pic:cNvPicPr>
                        </pic:nvPicPr>
                        <pic:blipFill>
                          <a:blip r:embed="rId67"/>
                          <a:stretch>
                            <a:fillRect/>
                          </a:stretch>
                        </pic:blipFill>
                        <pic:spPr bwMode="auto">
                          <a:xfrm>
                            <a:off x="0" y="0"/>
                            <a:ext cx="5334000" cy="271479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11: One-step ahead residuals for different model specifications for the acoustic-trawl survey composition data</w:t>
            </w:r>
          </w:p>
          <w:bookmarkEnd w:id="70"/>
        </w:tc>
      </w:tr>
    </w:tbl>
    <w:bookmarkEnd w:id="71"/>
    <w:bookmarkEnd w:id="72"/>
    <w:bookmarkStart w:id="96" w:name="X9104ee3269fa2a3c98875f043a9191fd365b699"/>
    <w:p>
      <w:pPr>
        <w:pStyle w:val="Heading1"/>
      </w:pPr>
      <w:r>
        <w:t xml:space="preserve">Leave-one-out survey sensitivity analysis</w:t>
      </w:r>
    </w:p>
    <w:p>
      <w:pPr>
        <w:pStyle w:val="FirstParagraph"/>
      </w:pPr>
      <w:r>
        <w:t xml:space="preserve">Here we present model runs that downweight one or more sources of survey data at a time.</w:t>
      </w:r>
      <w:r>
        <w:t xml:space="preserve"> </w:t>
      </w:r>
      <w:hyperlink w:anchor="tbl-loo_runs">
        <w:r>
          <w:rPr>
            <w:rStyle w:val="Hyperlink"/>
          </w:rPr>
          <w:t xml:space="preserve">Table 4</w:t>
        </w:r>
      </w:hyperlink>
      <w:r>
        <w:t xml:space="preserve"> </w:t>
      </w:r>
      <w:r>
        <w:t xml:space="preserve">shows the combinations of data types included for this analysis, which includes six model runs: (1) drop all Acoustic Trawl Survey (ATS) data (age 1 survey index, age 2+ survey biomass index, and age composition data), (2) drop the ATS age composition data, (3) drop the Acoustic Vessels of Opportunity (AVO) data (survey biomass index), (4) drop all Eastern Bering Sea Trawl Survey (BTS) data (age 1+ survey biomass index and age composition data), (5) drop the BTS age composition data, and (6) drop all survey biomass indices (BTS, ATS, and AVO survey biomass indices).</w:t>
      </w:r>
      <w:r>
        <w:t xml:space="preserve"> </w:t>
      </w:r>
      <w:r>
        <w:t xml:space="preserve">The ATS age 1 data are included as a separate survey index in the assessment model, while BTS age 1 data are included with the age composition data in the multinomial objective function component.</w:t>
      </w:r>
    </w:p>
    <w:tbl>
      <w:tblPr>
        <w:tblStyle w:val="Table"/>
        <w:tblW w:type="pct" w:w="5000"/>
        <w:tblLayout w:type="fixed"/>
        <w:tblLook w:firstRow="0" w:lastRow="0" w:firstColumn="0" w:lastColumn="0" w:noHBand="0" w:noVBand="0" w:val="0000"/>
      </w:tblPr>
      <w:tblGrid>
        <w:gridCol w:w="7920"/>
      </w:tblGrid>
      <w:tr>
        <w:tc>
          <w:tcPr/>
          <w:bookmarkStart w:id="73" w:name="tbl-loo_runs"/>
          <w:p>
            <w:pPr>
              <w:jc w:val="center"/>
            </w:pPr>
            <w:pPr>
              <w:jc w:val="start"/>
              <w:spacing w:before="200"/>
              <w:pStyle w:val="ImageCaption"/>
            </w:pPr>
            <w:r>
              <w:t xml:space="preserve">Table 4: Configuration of different model options testing the impact of different data components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end w:val="single" w:space="0" w:color="D3D3D3"/>
                  </w:tcBorders>
                  <w:gridSpan w:val="6"/>
                </w:tcPr>
                <w:p>
                  <w:pPr>
                    <w:spacing w:before="0" w:after="60"/>
                    <w:keepNext/>
                    <w:jc w:val="center"/>
                  </w:pPr>
                  <w:r>
                    <w:rPr>
                      <w:rFonts w:ascii="Calibri" w:hAnsi="Calibri"/>
                      <w:sz w:val="20"/>
                    </w:rPr>
                    <w:t xml:space="default">Model description</w:t>
                  </w:r>
                </w:p>
              </w:tc>
            </w:tr>
            <w:tr>
              <w:trPr>
                <w:cantSplit/>
                <w:tblHeader/>
              </w:trPr>
              <w:tc>
                <w:tcPr>
                  <w:tcBorders>
                    <w:bottom w:val="single" w:sz="16" w:space="0" w:color="D3D3D3"/>
                    <w:start w:val="single" w:space="0" w:color="D3D3D3"/>
                  </w:tcBorders>
                </w:tcPr>
                <w:p>
                  <w:pPr>
                    <w:spacing w:before="0" w:after="60"/>
                    <w:keepNext/>
                    <w:jc w:val="center"/>
                  </w:pPr>
                  <w:r>
                    <w:rPr>
                      <w:rFonts w:ascii="Calibri" w:hAnsi="Calibri"/>
                      <w:sz w:val="20"/>
                    </w:rPr>
                    <w:t xml:space="default">Dataset</w:t>
                  </w:r>
                </w:p>
              </w:tc>
              <w:tc>
                <w:tcPr>
                  <w:tcBorders>
                    <w:bottom w:val="single" w:sz="16" w:space="0" w:color="D3D3D3"/>
                  </w:tcBorders>
                </w:tcPr>
                <w:p>
                  <w:pPr>
                    <w:spacing w:before="0" w:after="60"/>
                    <w:keepNext/>
                    <w:jc w:val="center"/>
                  </w:pPr>
                  <w:r>
                    <w:rPr>
                      <w:rFonts w:ascii="Calibri" w:hAnsi="Calibri"/>
                      <w:sz w:val="20"/>
                    </w:rPr>
                    <w:t xml:space="default">Drop all BTS</w:t>
                  </w:r>
                </w:p>
              </w:tc>
              <w:tc>
                <w:tcPr>
                  <w:tcBorders>
                    <w:bottom w:val="single" w:sz="16" w:space="0" w:color="D3D3D3"/>
                  </w:tcBorders>
                </w:tcPr>
                <w:p>
                  <w:pPr>
                    <w:spacing w:before="0" w:after="60"/>
                    <w:keepNext/>
                    <w:jc w:val="center"/>
                  </w:pPr>
                  <w:r>
                    <w:rPr>
                      <w:rFonts w:ascii="Calibri" w:hAnsi="Calibri"/>
                      <w:sz w:val="20"/>
                    </w:rPr>
                    <w:t xml:space="default">Drop all ATS</w:t>
                  </w:r>
                </w:p>
              </w:tc>
              <w:tc>
                <w:tcPr>
                  <w:tcBorders>
                    <w:bottom w:val="single" w:sz="16" w:space="0" w:color="D3D3D3"/>
                  </w:tcBorders>
                </w:tcPr>
                <w:p>
                  <w:pPr>
                    <w:spacing w:before="0" w:after="60"/>
                    <w:keepNext/>
                    <w:jc w:val="center"/>
                  </w:pPr>
                  <w:r>
                    <w:rPr>
                      <w:rFonts w:ascii="Calibri" w:hAnsi="Calibri"/>
                      <w:sz w:val="20"/>
                    </w:rPr>
                    <w:t xml:space="default">Drop all indices</w:t>
                  </w:r>
                </w:p>
              </w:tc>
              <w:tc>
                <w:tcPr>
                  <w:tcBorders>
                    <w:bottom w:val="single" w:sz="16" w:space="0" w:color="D3D3D3"/>
                  </w:tcBorders>
                </w:tcPr>
                <w:p>
                  <w:pPr>
                    <w:spacing w:before="0" w:after="60"/>
                    <w:keepNext/>
                    <w:jc w:val="center"/>
                  </w:pPr>
                  <w:r>
                    <w:rPr>
                      <w:rFonts w:ascii="Calibri" w:hAnsi="Calibri"/>
                      <w:sz w:val="20"/>
                    </w:rPr>
                    <w:t xml:space="default">Drop AVO</w:t>
                  </w:r>
                </w:p>
              </w:tc>
              <w:tc>
                <w:tcPr>
                  <w:tcBorders>
                    <w:bottom w:val="single" w:sz="16" w:space="0" w:color="D3D3D3"/>
                  </w:tcBorders>
                </w:tcPr>
                <w:p>
                  <w:pPr>
                    <w:spacing w:before="0" w:after="60"/>
                    <w:keepNext/>
                    <w:jc w:val="center"/>
                  </w:pPr>
                  <w:r>
                    <w:rPr>
                      <w:rFonts w:ascii="Calibri" w:hAnsi="Calibri"/>
                      <w:sz w:val="20"/>
                    </w:rPr>
                    <w:t xml:space="default">Drop BTS Age composition</w:t>
                  </w:r>
                </w:p>
              </w:tc>
              <w:tc>
                <w:tcPr>
                  <w:tcBorders>
                    <w:bottom w:val="single" w:sz="16" w:space="0" w:color="D3D3D3"/>
                    <w:end w:val="single" w:space="0" w:color="D3D3D3"/>
                  </w:tcBorders>
                </w:tcPr>
                <w:p>
                  <w:pPr>
                    <w:spacing w:before="0" w:after="60"/>
                    <w:keepNext/>
                    <w:jc w:val="center"/>
                  </w:pPr>
                  <w:r>
                    <w:rPr>
                      <w:rFonts w:ascii="Calibri" w:hAnsi="Calibri"/>
                      <w:sz w:val="20"/>
                    </w:rPr>
                    <w:t xml:space="default">Drop ATS Age composition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BTS age 2+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ATS age 2+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ATS age 1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AVO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BTS comps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ATS comps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r>
          </w:tbl>
          <w:bookmarkEnd w:id="73"/>
        </w:tc>
      </w:tr>
    </w:tbl>
    <w:p>
      <w:pPr>
        <w:pStyle w:val="BodyText"/>
      </w:pPr>
      <w:r>
        <w:t xml:space="preserve">Among these models, when downweighting the BTS data, the model estimates of spawning</w:t>
      </w:r>
      <w:r>
        <w:t xml:space="preserve"> </w:t>
      </w:r>
      <w:r>
        <w:t xml:space="preserve">biomass changed in trends</w:t>
      </w:r>
      <w:r>
        <w:t xml:space="preserve"> </w:t>
      </w:r>
      <w:hyperlink w:anchor="fig-loo-ssb">
        <w:r>
          <w:rPr>
            <w:rStyle w:val="Hyperlink"/>
          </w:rPr>
          <w:t xml:space="preserve">Figure 12</w:t>
        </w:r>
      </w:hyperlink>
      <w:r>
        <w:t xml:space="preserve"> </w:t>
      </w:r>
      <w:r>
        <w:t xml:space="preserve">. The model estimates of recruitment were less</w:t>
      </w:r>
      <w:r>
        <w:t xml:space="preserve"> </w:t>
      </w:r>
      <w:r>
        <w:t xml:space="preserve">variable across sensitivity runs, but estimates differed the most from the 2024 accepted model when all BTS data and BTS age composition data were dropped</w:t>
      </w:r>
      <w:r>
        <w:t xml:space="preserve"> </w:t>
      </w:r>
      <w:hyperlink w:anchor="fig-loo-recruitment">
        <w:r>
          <w:rPr>
            <w:rStyle w:val="Hyperlink"/>
          </w:rPr>
          <w:t xml:space="preserve">Figure 13</w:t>
        </w:r>
      </w:hyperlink>
      <w:r>
        <w:t xml:space="preserve">. The relative fits to the different indices by</w:t>
      </w:r>
      <w:r>
        <w:t xml:space="preserve"> </w:t>
      </w:r>
      <w:r>
        <w:t xml:space="preserve">data component ommission show that the model is relatively insensitive to data being</w:t>
      </w:r>
      <w:r>
        <w:t xml:space="preserve"> </w:t>
      </w:r>
      <w:r>
        <w:t xml:space="preserve">excluded (see</w:t>
      </w:r>
      <w:r>
        <w:t xml:space="preserve"> </w:t>
      </w:r>
      <w:hyperlink w:anchor="fig-loo-bts-index">
        <w:r>
          <w:rPr>
            <w:rStyle w:val="Hyperlink"/>
          </w:rPr>
          <w:t xml:space="preserve">Figure 14</w:t>
        </w:r>
      </w:hyperlink>
      <w:r>
        <w:t xml:space="preserve">,</w:t>
      </w:r>
      <w:r>
        <w:t xml:space="preserve"> </w:t>
      </w:r>
      <w:hyperlink w:anchor="fig-loo-ats-index">
        <w:r>
          <w:rPr>
            <w:rStyle w:val="Hyperlink"/>
          </w:rPr>
          <w:t xml:space="preserve">Figure 15</w:t>
        </w:r>
      </w:hyperlink>
      <w:r>
        <w:t xml:space="preserve">, and</w:t>
      </w:r>
      <w:r>
        <w:t xml:space="preserve"> </w:t>
      </w:r>
      <w:hyperlink w:anchor="fig-loo-avo-index">
        <w:r>
          <w:rPr>
            <w:rStyle w:val="Hyperlink"/>
          </w:rPr>
          <w:t xml:space="preserve">Figure 16</w:t>
        </w:r>
      </w:hyperlink>
      <w:r>
        <w:t xml:space="preserve">). The</w:t>
      </w:r>
      <w:r>
        <w:t xml:space="preserve"> </w:t>
      </w:r>
      <w:r>
        <w:t xml:space="preserve">consistency can also be noted in the goodness-of-fit measures in</w:t>
      </w:r>
      <w:r>
        <w:t xml:space="preserve"> </w:t>
      </w:r>
      <w:hyperlink w:anchor="tbl-loo_fits">
        <w:r>
          <w:rPr>
            <w:rStyle w:val="Hyperlink"/>
          </w:rPr>
          <w:t xml:space="preserve">Table 5</w:t>
        </w:r>
      </w:hyperlink>
      <w:r>
        <w:t xml:space="preserve">. The table</w:t>
      </w:r>
      <w:r>
        <w:t xml:space="preserve"> </w:t>
      </w:r>
      <w:r>
        <w:t xml:space="preserve">shows several measures of goodness-of-fit for components that are dropped successively.</w:t>
      </w:r>
    </w:p>
    <w:p>
      <w:pPr>
        <w:pStyle w:val="BodyText"/>
      </w:pPr>
      <w:r>
        <w:t xml:space="preserve">In conclusion, the data sources suggest a good level of consistency driving the</w:t>
      </w:r>
      <w:r>
        <w:t xml:space="preserve"> </w:t>
      </w:r>
      <w:r>
        <w:t xml:space="preserve">trends– there appears to be relatively low levels of conflict between data sources. This is likely due</w:t>
      </w:r>
      <w:r>
        <w:t xml:space="preserve"> </w:t>
      </w:r>
      <w:r>
        <w:t xml:space="preserve">to the constant natural mortality-at-age, highly precise fishery catch-at-age, and estimation of time-varying fishery selectivity. That is,</w:t>
      </w:r>
      <w:r>
        <w:t xml:space="preserve"> </w:t>
      </w:r>
      <w:r>
        <w:t xml:space="preserve">the traditional</w:t>
      </w:r>
      <w:r>
        <w:t xml:space="preserve"> </w:t>
      </w:r>
      <w:r>
        <w:t xml:space="preserve">“VPA”</w:t>
      </w:r>
      <w:r>
        <w:t xml:space="preserve"> </w:t>
      </w:r>
      <w:r>
        <w:t xml:space="preserve">approach of back-calculating the abundance based on the numbers</w:t>
      </w:r>
      <w:r>
        <w:t xml:space="preserve"> </w:t>
      </w:r>
      <w:r>
        <w:t xml:space="preserve">caught results in a relatively consistent estimate of the population size. The importance</w:t>
      </w:r>
      <w:r>
        <w:t xml:space="preserve"> </w:t>
      </w:r>
      <w:r>
        <w:t xml:space="preserve">of the survey data can be seen in some of the reference calculations where the uncertainty</w:t>
      </w:r>
      <w:r>
        <w:t xml:space="preserve"> </w:t>
      </w:r>
      <w:r>
        <w:t xml:space="preserve">increases dramatically and the stock-status perception is quite different across sensitivity runs</w:t>
      </w:r>
      <w:r>
        <w:t xml:space="preserve"> </w:t>
      </w:r>
      <w:hyperlink w:anchor="tbl-loo_ref">
        <w:r>
          <w:rPr>
            <w:rStyle w:val="Hyperlink"/>
          </w:rPr>
          <w:t xml:space="preserve">Table 6</w:t>
        </w:r>
      </w:hyperlink>
      <w:r>
        <w:t xml:space="preserve">. Most dramatically, dropping all survey indices led to a CV in</w:t>
      </w:r>
      <w:r>
        <w:t xml:space="preserve"> </w:t>
      </w:r>
      <w:r>
        <w:t xml:space="preserve">“</w:t>
      </w:r>
      <m:oMath>
        <m:sSub>
          <m:e>
            <m:r>
              <m:t>B</m:t>
            </m:r>
          </m:e>
          <m:sub>
            <m:r>
              <m:t>M</m:t>
            </m:r>
            <m:r>
              <m:t>S</m:t>
            </m:r>
            <m:r>
              <m:t>Y</m:t>
            </m:r>
          </m:sub>
        </m:sSub>
      </m:oMath>
      <w:r>
        <w:t xml:space="preserve">”</w:t>
      </w:r>
      <w:r>
        <w:t xml:space="preserve"> </w:t>
      </w:r>
      <w:r>
        <w:t xml:space="preserve">estimates of 1.26 as compared to 0.13 in the 2024 accepted model.</w:t>
      </w:r>
    </w:p>
    <w:tbl>
      <w:tblPr>
        <w:tblStyle w:val="Table"/>
        <w:tblW w:type="pct" w:w="5000"/>
        <w:tblLayout w:type="fixed"/>
        <w:tblLook w:firstRow="0" w:lastRow="0" w:firstColumn="0" w:lastColumn="0" w:noHBand="0" w:noVBand="0" w:val="0000"/>
      </w:tblPr>
      <w:tblGrid>
        <w:gridCol w:w="7920"/>
      </w:tblGrid>
      <w:tr>
        <w:tc>
          <w:tcPr/>
          <w:bookmarkStart w:id="77" w:name="fig-loo-ssb"/>
          <w:p>
            <w:pPr>
              <w:pStyle w:val="Compact"/>
              <w:jc w:val="center"/>
            </w:pPr>
            <w:r>
              <w:drawing>
                <wp:inline>
                  <wp:extent cx="5334000" cy="2667000"/>
                  <wp:effectExtent b="0" l="0" r="0" t="0"/>
                  <wp:docPr descr="" title="" id="75" name="Picture"/>
                  <a:graphic>
                    <a:graphicData uri="http://schemas.openxmlformats.org/drawingml/2006/picture">
                      <pic:pic>
                        <pic:nvPicPr>
                          <pic:cNvPr descr="figs/loo_rel_ssb.png" id="76" name="Picture"/>
                          <pic:cNvPicPr>
                            <a:picLocks noChangeArrowheads="1" noChangeAspect="1"/>
                          </pic:cNvPicPr>
                        </pic:nvPicPr>
                        <pic:blipFill>
                          <a:blip r:embed="rId74"/>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12: Comparison of spawning biomass (SSB) relative to the 2024 accepted model for models that downweight one data source at a time</w:t>
            </w:r>
          </w:p>
          <w:bookmarkEnd w:id="77"/>
        </w:tc>
      </w:tr>
    </w:tbl>
    <w:tbl>
      <w:tblPr>
        <w:tblStyle w:val="Table"/>
        <w:tblW w:type="pct" w:w="5000"/>
        <w:tblLayout w:type="fixed"/>
        <w:tblLook w:firstRow="0" w:lastRow="0" w:firstColumn="0" w:lastColumn="0" w:noHBand="0" w:noVBand="0" w:val="0000"/>
      </w:tblPr>
      <w:tblGrid>
        <w:gridCol w:w="7920"/>
      </w:tblGrid>
      <w:tr>
        <w:tc>
          <w:tcPr/>
          <w:bookmarkStart w:id="81" w:name="fig-loo-recruitment"/>
          <w:p>
            <w:pPr>
              <w:pStyle w:val="Compact"/>
              <w:jc w:val="center"/>
            </w:pPr>
            <w:r>
              <w:drawing>
                <wp:inline>
                  <wp:extent cx="5334000" cy="1777999"/>
                  <wp:effectExtent b="0" l="0" r="0" t="0"/>
                  <wp:docPr descr="" title="" id="79" name="Picture"/>
                  <a:graphic>
                    <a:graphicData uri="http://schemas.openxmlformats.org/drawingml/2006/picture">
                      <pic:pic>
                        <pic:nvPicPr>
                          <pic:cNvPr descr="figs/loo_recruits.png" id="80" name="Picture"/>
                          <pic:cNvPicPr>
                            <a:picLocks noChangeArrowheads="1" noChangeAspect="1"/>
                          </pic:cNvPicPr>
                        </pic:nvPicPr>
                        <pic:blipFill>
                          <a:blip r:embed="rId78"/>
                          <a:stretch>
                            <a:fillRect/>
                          </a:stretch>
                        </pic:blipFill>
                        <pic:spPr bwMode="auto">
                          <a:xfrm>
                            <a:off x="0" y="0"/>
                            <a:ext cx="5334000" cy="1777999"/>
                          </a:xfrm>
                          <a:prstGeom prst="rect">
                            <a:avLst/>
                          </a:prstGeom>
                          <a:noFill/>
                          <a:ln w="9525">
                            <a:noFill/>
                            <a:headEnd/>
                            <a:tailEnd/>
                          </a:ln>
                        </pic:spPr>
                      </pic:pic>
                    </a:graphicData>
                  </a:graphic>
                </wp:inline>
              </w:drawing>
            </w:r>
          </w:p>
          <w:p>
            <w:pPr>
              <w:jc w:val="center"/>
            </w:pPr>
            <w:pPr>
              <w:jc w:val="start"/>
              <w:spacing w:before="200"/>
              <w:pStyle w:val="ImageCaption"/>
            </w:pPr>
            <w:r>
              <w:t xml:space="preserve">Figure 13: Comparison of recruitment estimates for models that downweight one data source at a time</w:t>
            </w:r>
          </w:p>
          <w:bookmarkEnd w:id="81"/>
        </w:tc>
      </w:tr>
    </w:tbl>
    <w:tbl>
      <w:tblPr>
        <w:tblStyle w:val="Table"/>
        <w:tblW w:type="pct" w:w="5000"/>
        <w:tblLayout w:type="fixed"/>
        <w:tblLook w:firstRow="0" w:lastRow="0" w:firstColumn="0" w:lastColumn="0" w:noHBand="0" w:noVBand="0" w:val="0000"/>
      </w:tblPr>
      <w:tblGrid>
        <w:gridCol w:w="7920"/>
      </w:tblGrid>
      <w:tr>
        <w:tc>
          <w:tcPr/>
          <w:bookmarkStart w:id="85" w:name="fig-loo-bts-index"/>
          <w:p>
            <w:pPr>
              <w:pStyle w:val="Compact"/>
              <w:jc w:val="center"/>
            </w:pPr>
            <w:r>
              <w:drawing>
                <wp:inline>
                  <wp:extent cx="5334000" cy="2667000"/>
                  <wp:effectExtent b="0" l="0" r="0" t="0"/>
                  <wp:docPr descr="" title="" id="83" name="Picture"/>
                  <a:graphic>
                    <a:graphicData uri="http://schemas.openxmlformats.org/drawingml/2006/picture">
                      <pic:pic>
                        <pic:nvPicPr>
                          <pic:cNvPr descr="figs/loo_bts_index.png" id="84" name="Picture"/>
                          <pic:cNvPicPr>
                            <a:picLocks noChangeArrowheads="1" noChangeAspect="1"/>
                          </pic:cNvPicPr>
                        </pic:nvPicPr>
                        <pic:blipFill>
                          <a:blip r:embed="rId82"/>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14: Comparison of fits to the Eastern Bering Sea Bottom Trawl Survey (BTS) biomass index for models that downweight one data source at a time</w:t>
            </w:r>
          </w:p>
          <w:bookmarkEnd w:id="85"/>
        </w:tc>
      </w:tr>
    </w:tbl>
    <w:tbl>
      <w:tblPr>
        <w:tblStyle w:val="Table"/>
        <w:tblW w:type="pct" w:w="5000"/>
        <w:tblLayout w:type="fixed"/>
        <w:tblLook w:firstRow="0" w:lastRow="0" w:firstColumn="0" w:lastColumn="0" w:noHBand="0" w:noVBand="0" w:val="0000"/>
      </w:tblPr>
      <w:tblGrid>
        <w:gridCol w:w="7920"/>
      </w:tblGrid>
      <w:tr>
        <w:tc>
          <w:tcPr/>
          <w:bookmarkStart w:id="89" w:name="fig-loo-ats-index"/>
          <w:p>
            <w:pPr>
              <w:pStyle w:val="Compact"/>
              <w:jc w:val="center"/>
            </w:pPr>
            <w:r>
              <w:drawing>
                <wp:inline>
                  <wp:extent cx="5334000" cy="2667000"/>
                  <wp:effectExtent b="0" l="0" r="0" t="0"/>
                  <wp:docPr descr="" title="" id="87" name="Picture"/>
                  <a:graphic>
                    <a:graphicData uri="http://schemas.openxmlformats.org/drawingml/2006/picture">
                      <pic:pic>
                        <pic:nvPicPr>
                          <pic:cNvPr descr="figs/loo_ats_index.png" id="88" name="Picture"/>
                          <pic:cNvPicPr>
                            <a:picLocks noChangeArrowheads="1" noChangeAspect="1"/>
                          </pic:cNvPicPr>
                        </pic:nvPicPr>
                        <pic:blipFill>
                          <a:blip r:embed="rId86"/>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15: Comparison of fits to the Acoustic Trawl Survey (ATS) biomass index for models that downweight one data source at a time</w:t>
            </w:r>
          </w:p>
          <w:bookmarkEnd w:id="89"/>
        </w:tc>
      </w:tr>
    </w:tbl>
    <w:tbl>
      <w:tblPr>
        <w:tblStyle w:val="Table"/>
        <w:tblW w:type="pct" w:w="5000"/>
        <w:tblLayout w:type="fixed"/>
        <w:tblLook w:firstRow="0" w:lastRow="0" w:firstColumn="0" w:lastColumn="0" w:noHBand="0" w:noVBand="0" w:val="0000"/>
      </w:tblPr>
      <w:tblGrid>
        <w:gridCol w:w="7920"/>
      </w:tblGrid>
      <w:tr>
        <w:tc>
          <w:tcPr/>
          <w:bookmarkStart w:id="93" w:name="fig-loo-avo-index"/>
          <w:p>
            <w:pPr>
              <w:pStyle w:val="Compact"/>
              <w:jc w:val="center"/>
            </w:pPr>
            <w:r>
              <w:drawing>
                <wp:inline>
                  <wp:extent cx="5334000" cy="2667000"/>
                  <wp:effectExtent b="0" l="0" r="0" t="0"/>
                  <wp:docPr descr="" title="" id="91" name="Picture"/>
                  <a:graphic>
                    <a:graphicData uri="http://schemas.openxmlformats.org/drawingml/2006/picture">
                      <pic:pic>
                        <pic:nvPicPr>
                          <pic:cNvPr descr="figs/loo_avo_index.png" id="92" name="Picture"/>
                          <pic:cNvPicPr>
                            <a:picLocks noChangeArrowheads="1" noChangeAspect="1"/>
                          </pic:cNvPicPr>
                        </pic:nvPicPr>
                        <pic:blipFill>
                          <a:blip r:embed="rId90"/>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16: Comparison of fits to the Acoustic Vessels of Opportunity (AVO) biomass index for models that downweight one data source at a time</w:t>
            </w:r>
          </w:p>
          <w:bookmarkEnd w:id="93"/>
        </w:tc>
      </w:tr>
    </w:tbl>
    <w:tbl>
      <w:tblPr>
        <w:tblStyle w:val="Table"/>
        <w:tblW w:type="pct" w:w="5000"/>
        <w:tblLayout w:type="fixed"/>
        <w:tblLook w:firstRow="0" w:lastRow="0" w:firstColumn="0" w:lastColumn="0" w:noHBand="0" w:noVBand="0" w:val="0000"/>
      </w:tblPr>
      <w:tblGrid>
        <w:gridCol w:w="7920"/>
      </w:tblGrid>
      <w:tr>
        <w:tc>
          <w:tcPr/>
          <w:bookmarkStart w:id="94" w:name="tbl-loo_fits"/>
          <w:p>
            <w:pPr>
              <w:jc w:val="center"/>
            </w:pPr>
            <w:pPr>
              <w:jc w:val="start"/>
              <w:spacing w:before="200"/>
              <w:pStyle w:val="ImageCaption"/>
            </w:pPr>
            <w:r>
              <w:t xml:space="preserve">Table 5: Goodness-of-fit measures to primary data for leave-one-out model sensitivity runs. RMSE=root-mean square log errors, SDNR=standard deviation of normalized residuals, Eff. N=effective sample size for composition data).</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Component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2024 accepted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Drop BTS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Drop ATS </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Drop AVO </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Drop indices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Drop BTS age </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Drop ATS age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RMSE BTS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RMSE ATS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RMSE AVO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RMSE CPUE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SDNR BTS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SDNR ATS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SDNR AVO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 N Fishery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 N BTS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 N ATS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w:t>
                  </w:r>
                </w:p>
              </w:tc>
            </w:tr>
          </w:tbl>
          <w:bookmarkEnd w:id="94"/>
        </w:tc>
      </w:tr>
    </w:tbl>
    <w:tbl>
      <w:tblPr>
        <w:tblStyle w:val="Table"/>
        <w:tblW w:type="pct" w:w="5000"/>
        <w:tblLayout w:type="fixed"/>
        <w:tblLook w:firstRow="0" w:lastRow="0" w:firstColumn="0" w:lastColumn="0" w:noHBand="0" w:noVBand="0" w:val="0000"/>
      </w:tblPr>
      <w:tblGrid>
        <w:gridCol w:w="7920"/>
      </w:tblGrid>
      <w:tr>
        <w:tc>
          <w:tcPr/>
          <w:bookmarkStart w:id="95" w:name="tbl-loo_ref"/>
          <w:p>
            <w:pPr>
              <w:jc w:val="center"/>
            </w:pPr>
            <w:pPr>
              <w:jc w:val="start"/>
              <w:spacing w:before="200"/>
              <w:pStyle w:val="ImageCaption"/>
            </w:pPr>
            <w:r>
              <w:t xml:space="preserve">Table 6: Estimated derived quantities and selected corresponding CVs for leave-one-out sensitivity analysis runs. See text for incremental model descriptions.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Estimated Quantity</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2024 accepted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Drop BTS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Drop ATS </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Drop AVO </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Drop indices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Drop BTS age </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Drop ATS age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${B}_{2025}$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3,100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2,800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3,600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3,300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3,200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2,800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3,300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$CV_{B_{2025}}$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$B_{MSY}$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2,310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2,301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2,360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2,322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3,677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2,301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2,334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$CV_{B_{MSY}}$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${B}</w:t>
                  </w:r>
                  <w:r>
                    <w:rPr>
                      <w:i/>
                      <w:rFonts w:ascii="Calibri" w:hAnsi="Calibri"/>
                      <w:sz w:val="20"/>
                    </w:rPr>
                    <w:t xml:space="preserve">{2025}/B</w:t>
                  </w:r>
                  <w:r>
                    <w:rPr>
                      <w:rFonts w:ascii="Calibri" w:hAnsi="Calibri"/>
                      <w:sz w:val="20"/>
                    </w:rPr>
                    <w:t xml:space="preserve">{MSY}$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$B_0$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5,975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5,904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6,120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6,009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8,934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5,904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6,050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$B_{35%}$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2,066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1,994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2,101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2,080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2,074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1,994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2,082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SPR rate at $F_{MSY}$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Steepness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Est. $B_{2024} / B_{2024,no fishing}$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$B_{2024} / B_{MSY}$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150%</w:t>
                  </w:r>
                </w:p>
              </w:tc>
            </w:tr>
          </w:tbl>
          <w:bookmarkEnd w:id="95"/>
        </w:tc>
      </w:tr>
    </w:tbl>
    <w:bookmarkEnd w:id="96"/>
    <w:bookmarkStart w:id="171" w:name="alternative-assessment-software"/>
    <w:p>
      <w:pPr>
        <w:pStyle w:val="Heading1"/>
      </w:pPr>
      <w:r>
        <w:t xml:space="preserve">Alternative assessment software</w:t>
      </w:r>
    </w:p>
    <w:bookmarkStart w:id="121" w:name="stock-synthesis-3"/>
    <w:p>
      <w:pPr>
        <w:pStyle w:val="Heading2"/>
      </w:pPr>
      <w:r>
        <w:t xml:space="preserve">Stock-synthesis 3</w:t>
      </w:r>
    </w:p>
    <w:p>
      <w:pPr>
        <w:pStyle w:val="FirstParagraph"/>
      </w:pPr>
      <w:r>
        <w:t xml:space="preserve">Stock synthesis 3 (SS3) is a well establish framework and is common in many diverse</w:t>
      </w:r>
      <w:r>
        <w:t xml:space="preserve"> </w:t>
      </w:r>
      <w:r>
        <w:t xml:space="preserve">settings. (</w:t>
      </w:r>
      <w:r>
        <w:t xml:space="preserve">Methot and Wetzel (2013)</w:t>
      </w:r>
      <w:r>
        <w:t xml:space="preserve">) For EBS pollock, we extended an initial framework based on the</w:t>
      </w:r>
      <w:r>
        <w:t xml:space="preserve"> </w:t>
      </w:r>
      <w:r>
        <w:t xml:space="preserve">configurations used for Pacific hake (</w:t>
      </w:r>
      <w:r>
        <w:t xml:space="preserve">Grandin et al. (2024)</w:t>
      </w:r>
      <w:r>
        <w:t xml:space="preserve">) since there are many similarities in the</w:t>
      </w:r>
      <w:r>
        <w:t xml:space="preserve"> </w:t>
      </w:r>
      <w:r>
        <w:t xml:space="preserve">type of data available. Namely, empirical weight-at-age, acoustic survey data, and indices</w:t>
      </w:r>
      <w:r>
        <w:t xml:space="preserve"> </w:t>
      </w:r>
      <w:r>
        <w:t xml:space="preserve">of 1-year olds.</w:t>
      </w:r>
    </w:p>
    <w:p>
      <w:pPr>
        <w:pStyle w:val="BodyText"/>
      </w:pPr>
      <w:r>
        <w:t xml:space="preserve">Within the SS3 framework, we evaluated different configurations for fishery selectivity</w:t>
      </w:r>
      <w:r>
        <w:t xml:space="preserve"> </w:t>
      </w:r>
      <w:r>
        <w:t xml:space="preserve">variability (</w:t>
      </w:r>
      <w:hyperlink w:anchor="fig-ss3">
        <w:r>
          <w:rPr>
            <w:rStyle w:val="Hyperlink"/>
          </w:rPr>
          <w:t xml:space="preserve">Figure 17</w:t>
        </w:r>
      </w:hyperlink>
      <w:r>
        <w:t xml:space="preserve">). These showed the impact on the uncertainty and stock trends</w:t>
      </w:r>
      <w:r>
        <w:t xml:space="preserve"> </w:t>
      </w:r>
      <w:r>
        <w:t xml:space="preserve">(</w:t>
      </w:r>
      <w:hyperlink w:anchor="fig-synts-1">
        <w:r>
          <w:rPr>
            <w:rStyle w:val="Hyperlink"/>
          </w:rPr>
          <w:t xml:space="preserve">Figure 18</w:t>
        </w:r>
      </w:hyperlink>
      <w:r>
        <w:t xml:space="preserve"> </w:t>
      </w:r>
      <w:r>
        <w:t xml:space="preserve">for SSB and</w:t>
      </w:r>
      <w:r>
        <w:t xml:space="preserve"> </w:t>
      </w:r>
      <w:hyperlink w:anchor="fig-synts-2">
        <w:r>
          <w:rPr>
            <w:rStyle w:val="Hyperlink"/>
          </w:rPr>
          <w:t xml:space="preserve">Figure 19</w:t>
        </w:r>
      </w:hyperlink>
      <w:r>
        <w:t xml:space="preserve"> </w:t>
      </w:r>
      <w:r>
        <w:t xml:space="preserve">for recruitment).</w:t>
      </w:r>
    </w:p>
    <w:tbl>
      <w:tblPr>
        <w:tblStyle w:val="Table"/>
        <w:tblW w:type="pct" w:w="5000"/>
        <w:tblLayout w:type="fixed"/>
        <w:tblLook w:firstRow="0" w:lastRow="0" w:firstColumn="0" w:lastColumn="0" w:noHBand="0" w:noVBand="0" w:val="0000"/>
      </w:tblPr>
      <w:tblGrid>
        <w:gridCol w:w="7920"/>
      </w:tblGrid>
      <w:tr>
        <w:tc>
          <w:tcPr/>
          <w:bookmarkStart w:id="100" w:name="fig-ss3"/>
          <w:p>
            <w:pPr>
              <w:pStyle w:val="Compact"/>
              <w:jc w:val="center"/>
            </w:pPr>
            <w:r>
              <w:drawing>
                <wp:inline>
                  <wp:extent cx="5334000" cy="4267200"/>
                  <wp:effectExtent b="0" l="0" r="0" t="0"/>
                  <wp:docPr descr="" title="" id="98" name="Picture"/>
                  <a:graphic>
                    <a:graphicData uri="http://schemas.openxmlformats.org/drawingml/2006/picture">
                      <pic:pic>
                        <pic:nvPicPr>
                          <pic:cNvPr descr="CIE_files/figure-docx/fig-ss3-1.png" id="99" name="Picture"/>
                          <pic:cNvPicPr>
                            <a:picLocks noChangeArrowheads="1" noChangeAspect="1"/>
                          </pic:cNvPicPr>
                        </pic:nvPicPr>
                        <pic:blipFill>
                          <a:blip r:embed="rId97"/>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17: Model results comparing three different SS3 model configurations. The models are the base model (Base), the constrained model (Constrained), and the flexible model (Flexible).</w:t>
            </w:r>
          </w:p>
          <w:bookmarkEnd w:id="100"/>
        </w:tc>
      </w:tr>
    </w:tbl>
    <w:tbl>
      <w:tblPr>
        <w:tblStyle w:val="Table"/>
        <w:tblW w:type="pct" w:w="5000"/>
        <w:tblLayout w:type="fixed"/>
        <w:tblLook w:firstRow="0" w:lastRow="0" w:firstColumn="0" w:lastColumn="0" w:noHBand="0" w:noVBand="0" w:val="0000"/>
      </w:tblPr>
      <w:tblGrid>
        <w:gridCol w:w="7920"/>
      </w:tblGrid>
      <w:tr>
        <w:tc>
          <w:tcPr/>
          <w:bookmarkStart w:id="104" w:name="fig-synts-1"/>
          <w:p>
            <w:pPr>
              <w:pStyle w:val="Compact"/>
              <w:jc w:val="center"/>
            </w:pPr>
            <w:r>
              <w:drawing>
                <wp:inline>
                  <wp:extent cx="5334000" cy="4267200"/>
                  <wp:effectExtent b="0" l="0" r="0" t="0"/>
                  <wp:docPr descr="" title="" id="102" name="Picture"/>
                  <a:graphic>
                    <a:graphicData uri="http://schemas.openxmlformats.org/drawingml/2006/picture">
                      <pic:pic>
                        <pic:nvPicPr>
                          <pic:cNvPr descr="CIE_files/figure-docx/fig-synts-1.png" id="103" name="Picture"/>
                          <pic:cNvPicPr>
                            <a:picLocks noChangeArrowheads="1" noChangeAspect="1"/>
                          </pic:cNvPicPr>
                        </pic:nvPicPr>
                        <pic:blipFill>
                          <a:blip r:embed="rId101"/>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18: Model results comparing the time-series for three different SS3 model configurations. The models are the base model (Base), the constrained model (Constrained), and the flexible model (Flexible).</w:t>
            </w:r>
          </w:p>
          <w:bookmarkEnd w:id="104"/>
        </w:tc>
      </w:tr>
    </w:tbl>
    <w:tbl>
      <w:tblPr>
        <w:tblStyle w:val="Table"/>
        <w:tblW w:type="pct" w:w="5000"/>
        <w:tblLayout w:type="fixed"/>
        <w:tblLook w:firstRow="0" w:lastRow="0" w:firstColumn="0" w:lastColumn="0" w:noHBand="0" w:noVBand="0" w:val="0000"/>
      </w:tblPr>
      <w:tblGrid>
        <w:gridCol w:w="7920"/>
      </w:tblGrid>
      <w:tr>
        <w:tc>
          <w:tcPr/>
          <w:bookmarkStart w:id="108" w:name="fig-synts-2"/>
          <w:p>
            <w:pPr>
              <w:pStyle w:val="Compact"/>
              <w:jc w:val="center"/>
            </w:pPr>
            <w:r>
              <w:drawing>
                <wp:inline>
                  <wp:extent cx="5334000" cy="4267200"/>
                  <wp:effectExtent b="0" l="0" r="0" t="0"/>
                  <wp:docPr descr="" title="" id="106" name="Picture"/>
                  <a:graphic>
                    <a:graphicData uri="http://schemas.openxmlformats.org/drawingml/2006/picture">
                      <pic:pic>
                        <pic:nvPicPr>
                          <pic:cNvPr descr="CIE_files/figure-docx/fig-synts-2.png" id="107" name="Picture"/>
                          <pic:cNvPicPr>
                            <a:picLocks noChangeArrowheads="1" noChangeAspect="1"/>
                          </pic:cNvPicPr>
                        </pic:nvPicPr>
                        <pic:blipFill>
                          <a:blip r:embed="rId105"/>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19: Model results comparing the time-series for three different SS3 model configurations. The models are the base model (Base), the constrained model (Constrained), and the flexible model (Flexible).</w:t>
            </w:r>
          </w:p>
          <w:bookmarkEnd w:id="108"/>
        </w:tc>
      </w:tr>
    </w:tbl>
    <w:p>
      <w:pPr>
        <w:pStyle w:val="BodyText"/>
      </w:pPr>
      <w:r>
        <w:t xml:space="preserve">Comparing the</w:t>
      </w:r>
      <w:r>
        <w:t xml:space="preserve"> </w:t>
      </w:r>
      <w:r>
        <w:t xml:space="preserve">“base”</w:t>
      </w:r>
      <w:r>
        <w:t xml:space="preserve"> </w:t>
      </w:r>
      <w:r>
        <w:t xml:space="preserve">SS3 model with the pollock model showed different patterns in</w:t>
      </w:r>
      <w:r>
        <w:t xml:space="preserve"> </w:t>
      </w:r>
      <w:r>
        <w:t xml:space="preserve">the early periods for</w:t>
      </w:r>
      <w:r>
        <w:t xml:space="preserve"> </w:t>
      </w:r>
      <w:r>
        <w:t xml:space="preserve">selectivity (</w:t>
      </w:r>
      <w:hyperlink w:anchor="fig-ss3vpmsel">
        <w:r>
          <w:rPr>
            <w:rStyle w:val="Hyperlink"/>
          </w:rPr>
          <w:t xml:space="preserve">Figure 20</w:t>
        </w:r>
      </w:hyperlink>
      <w:r>
        <w:t xml:space="preserve">) but slight differences in SSB and recruitment estimates</w:t>
      </w:r>
      <w:r>
        <w:t xml:space="preserve"> </w:t>
      </w:r>
      <w:r>
        <w:t xml:space="preserve">(</w:t>
      </w:r>
      <w:hyperlink w:anchor="fig-pmvss3-1">
        <w:r>
          <w:rPr>
            <w:rStyle w:val="Hyperlink"/>
          </w:rPr>
          <w:t xml:space="preserve">Figure 21</w:t>
        </w:r>
      </w:hyperlink>
      <w:r>
        <w:t xml:space="preserve"> </w:t>
      </w:r>
      <w:r>
        <w:t xml:space="preserve">and</w:t>
      </w:r>
      <w:r>
        <w:t xml:space="preserve"> </w:t>
      </w:r>
      <w:hyperlink w:anchor="fig-pmvss3-2">
        <w:r>
          <w:rPr>
            <w:rStyle w:val="Hyperlink"/>
          </w:rPr>
          <w:t xml:space="preserve">Figure 22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12" w:name="fig-ss3vpmsel"/>
          <w:p>
            <w:pPr>
              <w:pStyle w:val="Compact"/>
              <w:jc w:val="center"/>
            </w:pPr>
            <w:r>
              <w:drawing>
                <wp:inline>
                  <wp:extent cx="5334000" cy="4267200"/>
                  <wp:effectExtent b="0" l="0" r="0" t="0"/>
                  <wp:docPr descr="" title="" id="110" name="Picture"/>
                  <a:graphic>
                    <a:graphicData uri="http://schemas.openxmlformats.org/drawingml/2006/picture">
                      <pic:pic>
                        <pic:nvPicPr>
                          <pic:cNvPr descr="CIE_files/figure-docx/fig-ss3vpmsel-1.png" id="111" name="Picture"/>
                          <pic:cNvPicPr>
                            <a:picLocks noChangeArrowheads="1" noChangeAspect="1"/>
                          </pic:cNvPicPr>
                        </pic:nvPicPr>
                        <pic:blipFill>
                          <a:blip r:embed="rId109"/>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20: Model results comparing selectivity estimates between the base SS3 model configuration and the pollock model accepted in 2024.</w:t>
            </w:r>
          </w:p>
          <w:bookmarkEnd w:id="112"/>
        </w:tc>
      </w:tr>
    </w:tbl>
    <w:tbl>
      <w:tblPr>
        <w:tblStyle w:val="Table"/>
        <w:tblW w:type="pct" w:w="5000"/>
        <w:tblLayout w:type="fixed"/>
        <w:tblLook w:firstRow="0" w:lastRow="0" w:firstColumn="0" w:lastColumn="0" w:noHBand="0" w:noVBand="0" w:val="0000"/>
      </w:tblPr>
      <w:tblGrid>
        <w:gridCol w:w="7920"/>
      </w:tblGrid>
      <w:tr>
        <w:tc>
          <w:tcPr/>
          <w:bookmarkStart w:id="116" w:name="fig-pmvss3-1"/>
          <w:p>
            <w:pPr>
              <w:pStyle w:val="Compact"/>
              <w:jc w:val="center"/>
            </w:pPr>
            <w:r>
              <w:drawing>
                <wp:inline>
                  <wp:extent cx="5334000" cy="4267200"/>
                  <wp:effectExtent b="0" l="0" r="0" t="0"/>
                  <wp:docPr descr="" title="" id="114" name="Picture"/>
                  <a:graphic>
                    <a:graphicData uri="http://schemas.openxmlformats.org/drawingml/2006/picture">
                      <pic:pic>
                        <pic:nvPicPr>
                          <pic:cNvPr descr="CIE_files/figure-docx/fig-pmvss3-1.png" id="115" name="Picture"/>
                          <pic:cNvPicPr>
                            <a:picLocks noChangeArrowheads="1" noChangeAspect="1"/>
                          </pic:cNvPicPr>
                        </pic:nvPicPr>
                        <pic:blipFill>
                          <a:blip r:embed="rId113"/>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21: Model results comparing the base SS3 model configuration with the model used for pollock in 2024.</w:t>
            </w:r>
          </w:p>
          <w:bookmarkEnd w:id="116"/>
        </w:tc>
      </w:tr>
    </w:tbl>
    <w:tbl>
      <w:tblPr>
        <w:tblStyle w:val="Table"/>
        <w:tblW w:type="pct" w:w="5000"/>
        <w:tblLayout w:type="fixed"/>
        <w:tblLook w:firstRow="0" w:lastRow="0" w:firstColumn="0" w:lastColumn="0" w:noHBand="0" w:noVBand="0" w:val="0000"/>
      </w:tblPr>
      <w:tblGrid>
        <w:gridCol w:w="7920"/>
      </w:tblGrid>
      <w:tr>
        <w:tc>
          <w:tcPr/>
          <w:bookmarkStart w:id="120" w:name="fig-pmvss3-2"/>
          <w:p>
            <w:pPr>
              <w:pStyle w:val="Compact"/>
              <w:jc w:val="center"/>
            </w:pPr>
            <w:r>
              <w:drawing>
                <wp:inline>
                  <wp:extent cx="5334000" cy="4267200"/>
                  <wp:effectExtent b="0" l="0" r="0" t="0"/>
                  <wp:docPr descr="" title="" id="118" name="Picture"/>
                  <a:graphic>
                    <a:graphicData uri="http://schemas.openxmlformats.org/drawingml/2006/picture">
                      <pic:pic>
                        <pic:nvPicPr>
                          <pic:cNvPr descr="CIE_files/figure-docx/fig-pmvss3-2.png" id="119" name="Picture"/>
                          <pic:cNvPicPr>
                            <a:picLocks noChangeArrowheads="1" noChangeAspect="1"/>
                          </pic:cNvPicPr>
                        </pic:nvPicPr>
                        <pic:blipFill>
                          <a:blip r:embed="rId117"/>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22: Model results comparing the base SS3 model configuration with the model used for pollock in 2024.</w:t>
            </w:r>
          </w:p>
          <w:bookmarkEnd w:id="120"/>
        </w:tc>
      </w:tr>
    </w:tbl>
    <w:bookmarkEnd w:id="121"/>
    <w:bookmarkStart w:id="135" w:name="sam"/>
    <w:p>
      <w:pPr>
        <w:pStyle w:val="Heading2"/>
      </w:pPr>
      <w:r>
        <w:t xml:space="preserve">SAM</w:t>
      </w:r>
    </w:p>
    <w:p>
      <w:pPr>
        <w:pStyle w:val="FirstParagraph"/>
      </w:pPr>
      <w:r>
        <w:t xml:space="preserve">The Stock Assessment Model (SAM) is a state-space model written in TMB (</w:t>
      </w:r>
      <w:r>
        <w:t xml:space="preserve">Nielsen and Berg (2014)</w:t>
      </w:r>
      <w:r>
        <w:t xml:space="preserve">,</w:t>
      </w:r>
      <w:r>
        <w:t xml:space="preserve"> </w:t>
      </w:r>
      <w:r>
        <w:t xml:space="preserve">Nielsen et al. (2021)</w:t>
      </w:r>
      <w:r>
        <w:t xml:space="preserve">). We attempted to configure the settings to have similar levels of</w:t>
      </w:r>
      <w:r>
        <w:t xml:space="preserve"> </w:t>
      </w:r>
      <w:r>
        <w:t xml:space="preserve">flexibility to the reference model used for catch advice in 2024 and the settings and</w:t>
      </w:r>
      <w:r>
        <w:t xml:space="preserve"> </w:t>
      </w:r>
      <w:r>
        <w:t xml:space="preserve">results can be found</w:t>
      </w:r>
      <w:r>
        <w:t xml:space="preserve"> </w:t>
      </w:r>
      <w:hyperlink r:id="rId122">
        <w:r>
          <w:rPr>
            <w:rStyle w:val="Hyperlink"/>
          </w:rPr>
          <w:t xml:space="preserve">here</w:t>
        </w:r>
      </w:hyperlink>
      <w:r>
        <w:t xml:space="preserve">).</w:t>
      </w:r>
      <w:r>
        <w:t xml:space="preserve"> </w:t>
      </w:r>
      <w:r>
        <w:t xml:space="preserve">Comparing</w:t>
      </w:r>
      <w:r>
        <w:t xml:space="preserve"> </w:t>
      </w:r>
      <w:r>
        <w:t xml:space="preserve">“selectivity”</w:t>
      </w:r>
      <w:r>
        <w:t xml:space="preserve"> </w:t>
      </w:r>
      <w:r>
        <w:t xml:space="preserve">in the SAM model to the reference model, we see broad similarities</w:t>
      </w:r>
      <w:r>
        <w:t xml:space="preserve"> </w:t>
      </w:r>
      <w:r>
        <w:t xml:space="preserve">but slightly lower inter-annual variability in the SAM run (</w:t>
      </w:r>
      <w:hyperlink w:anchor="fig-sam">
        <w:r>
          <w:rPr>
            <w:rStyle w:val="Hyperlink"/>
          </w:rPr>
          <w:t xml:space="preserve">Figure 23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26" w:name="fig-sam"/>
          <w:p>
            <w:pPr>
              <w:pStyle w:val="Compact"/>
              <w:jc w:val="center"/>
            </w:pPr>
            <w:r>
              <w:drawing>
                <wp:inline>
                  <wp:extent cx="5334000" cy="4267200"/>
                  <wp:effectExtent b="0" l="0" r="0" t="0"/>
                  <wp:docPr descr="" title="" id="124" name="Picture"/>
                  <a:graphic>
                    <a:graphicData uri="http://schemas.openxmlformats.org/drawingml/2006/picture">
                      <pic:pic>
                        <pic:nvPicPr>
                          <pic:cNvPr descr="CIE_files/figure-docx/fig-sam-1.png" id="125" name="Picture"/>
                          <pic:cNvPicPr>
                            <a:picLocks noChangeArrowheads="1" noChangeAspect="1"/>
                          </pic:cNvPicPr>
                        </pic:nvPicPr>
                        <pic:blipFill>
                          <a:blip r:embed="rId123"/>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23: Model results comparing last year’s model with the SAM model.</w:t>
            </w:r>
          </w:p>
          <w:bookmarkEnd w:id="126"/>
        </w:tc>
      </w:tr>
    </w:tbl>
    <w:p>
      <w:pPr>
        <w:pStyle w:val="BodyText"/>
      </w:pPr>
      <w:r>
        <w:t xml:space="preserve">The spawning biomass trend largely overlaps in the uncertainty between the SAM</w:t>
      </w:r>
      <w:r>
        <w:t xml:space="preserve"> </w:t>
      </w:r>
      <w:r>
        <w:t xml:space="preserve">and pollock model (</w:t>
      </w:r>
      <w:hyperlink w:anchor="fig-samts-1">
        <w:r>
          <w:rPr>
            <w:rStyle w:val="Hyperlink"/>
          </w:rPr>
          <w:t xml:space="preserve">Figure 24</w:t>
        </w:r>
      </w:hyperlink>
      <w:r>
        <w:t xml:space="preserve">). The recruitment estimates are similar as well</w:t>
      </w:r>
      <w:r>
        <w:t xml:space="preserve"> </w:t>
      </w:r>
      <w:r>
        <w:t xml:space="preserve">(</w:t>
      </w:r>
      <w:hyperlink w:anchor="fig-samts-2">
        <w:r>
          <w:rPr>
            <w:rStyle w:val="Hyperlink"/>
          </w:rPr>
          <w:t xml:space="preserve">Figure 25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30" w:name="fig-samts-1"/>
          <w:p>
            <w:pPr>
              <w:pStyle w:val="Compact"/>
              <w:jc w:val="center"/>
            </w:pPr>
            <w:r>
              <w:drawing>
                <wp:inline>
                  <wp:extent cx="5334000" cy="4267200"/>
                  <wp:effectExtent b="0" l="0" r="0" t="0"/>
                  <wp:docPr descr="" title="" id="128" name="Picture"/>
                  <a:graphic>
                    <a:graphicData uri="http://schemas.openxmlformats.org/drawingml/2006/picture">
                      <pic:pic>
                        <pic:nvPicPr>
                          <pic:cNvPr descr="CIE_files/figure-docx/fig-samts-1.png" id="129" name="Picture"/>
                          <pic:cNvPicPr>
                            <a:picLocks noChangeArrowheads="1" noChangeAspect="1"/>
                          </pic:cNvPicPr>
                        </pic:nvPicPr>
                        <pic:blipFill>
                          <a:blip r:embed="rId127"/>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24: Model results comparing last year’s model with the SAM model for spawning biomass (top) and recruitment at age 1 (bottom).</w:t>
            </w:r>
          </w:p>
          <w:bookmarkEnd w:id="130"/>
        </w:tc>
      </w:tr>
    </w:tbl>
    <w:tbl>
      <w:tblPr>
        <w:tblStyle w:val="Table"/>
        <w:tblW w:type="pct" w:w="5000"/>
        <w:tblLayout w:type="fixed"/>
        <w:tblLook w:firstRow="0" w:lastRow="0" w:firstColumn="0" w:lastColumn="0" w:noHBand="0" w:noVBand="0" w:val="0000"/>
      </w:tblPr>
      <w:tblGrid>
        <w:gridCol w:w="7920"/>
      </w:tblGrid>
      <w:tr>
        <w:tc>
          <w:tcPr/>
          <w:bookmarkStart w:id="134" w:name="fig-samts-2"/>
          <w:p>
            <w:pPr>
              <w:pStyle w:val="Compact"/>
              <w:jc w:val="center"/>
            </w:pPr>
            <w:r>
              <w:drawing>
                <wp:inline>
                  <wp:extent cx="5334000" cy="4267200"/>
                  <wp:effectExtent b="0" l="0" r="0" t="0"/>
                  <wp:docPr descr="" title="" id="132" name="Picture"/>
                  <a:graphic>
                    <a:graphicData uri="http://schemas.openxmlformats.org/drawingml/2006/picture">
                      <pic:pic>
                        <pic:nvPicPr>
                          <pic:cNvPr descr="CIE_files/figure-docx/fig-samts-2.png" id="133" name="Picture"/>
                          <pic:cNvPicPr>
                            <a:picLocks noChangeArrowheads="1" noChangeAspect="1"/>
                          </pic:cNvPicPr>
                        </pic:nvPicPr>
                        <pic:blipFill>
                          <a:blip r:embed="rId131"/>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25: Model results comparing last year’s model with the SAM model for spawning biomass (top) and recruitment at age 1 (bottom).</w:t>
            </w:r>
          </w:p>
          <w:bookmarkEnd w:id="134"/>
        </w:tc>
      </w:tr>
    </w:tbl>
    <w:bookmarkEnd w:id="135"/>
    <w:bookmarkStart w:id="157" w:name="other-models-in-development"/>
    <w:p>
      <w:pPr>
        <w:pStyle w:val="Heading2"/>
      </w:pPr>
      <w:r>
        <w:t xml:space="preserve">Other models in development</w:t>
      </w:r>
    </w:p>
    <w:p>
      <w:pPr>
        <w:pStyle w:val="FirstParagraph"/>
      </w:pPr>
      <w:r>
        <w:t xml:space="preserve">The</w:t>
      </w:r>
      <w:r>
        <w:t xml:space="preserve"> </w:t>
      </w:r>
      <w:r>
        <w:t xml:space="preserve">“Woods Hole Assessment model”</w:t>
      </w:r>
      <w:r>
        <w:t xml:space="preserve"> </w:t>
      </w:r>
      <w:r>
        <w:t xml:space="preserve">(WHAM) is written in TMB and is a fully state-space</w:t>
      </w:r>
      <w:r>
        <w:t xml:space="preserve"> </w:t>
      </w:r>
      <w:r>
        <w:t xml:space="preserve">model (</w:t>
      </w:r>
      <w:r>
        <w:t xml:space="preserve">Stock and Miller (2021)</w:t>
      </w:r>
      <w:r>
        <w:t xml:space="preserve">). Initial trials are available on the</w:t>
      </w:r>
      <w:r>
        <w:t xml:space="preserve"> </w:t>
      </w:r>
      <w:hyperlink r:id="rId136">
        <w:r>
          <w:rPr>
            <w:rStyle w:val="Hyperlink"/>
          </w:rPr>
          <w:t xml:space="preserve">github</w:t>
        </w:r>
        <w:r>
          <w:rPr>
            <w:rStyle w:val="Hyperlink"/>
          </w:rPr>
          <w:t xml:space="preserve"> </w:t>
        </w:r>
        <w:r>
          <w:rPr>
            <w:rStyle w:val="Hyperlink"/>
          </w:rPr>
          <w:t xml:space="preserve">repository</w:t>
        </w:r>
      </w:hyperlink>
      <w:r>
        <w:t xml:space="preserve">.</w:t>
      </w:r>
    </w:p>
    <w:p>
      <w:pPr>
        <w:pStyle w:val="BodyText"/>
      </w:pPr>
      <w:r>
        <w:t xml:space="preserve">The Rceattle model is developed by the AFSC and is written in TMB (</w:t>
      </w:r>
      <w:r>
        <w:t xml:space="preserve">Adams et al. (2022)</w:t>
      </w:r>
      <w:r>
        <w:t xml:space="preserve">). The model</w:t>
      </w:r>
      <w:r>
        <w:t xml:space="preserve"> </w:t>
      </w:r>
      <w:r>
        <w:t xml:space="preserve">is an extension of the ADMB version used for multi-species model in the Eastern Bering Sea</w:t>
      </w:r>
      <w:r>
        <w:t xml:space="preserve"> </w:t>
      </w:r>
      <w:r>
        <w:t xml:space="preserve">(</w:t>
      </w:r>
      <w:r>
        <w:t xml:space="preserve">Jurado-Molina, Livingston, and Ianelli (2005)</w:t>
      </w:r>
      <w:r>
        <w:t xml:space="preserve">,</w:t>
      </w:r>
      <w:r>
        <w:t xml:space="preserve"> </w:t>
      </w:r>
      <w:r>
        <w:t xml:space="preserve">Holsman et al. (2024)</w:t>
      </w:r>
      <w:r>
        <w:t xml:space="preserve">) and has a number of newer features. It is generalizable to</w:t>
      </w:r>
      <w:r>
        <w:t xml:space="preserve"> </w:t>
      </w:r>
      <w:r>
        <w:t xml:space="preserve">include a variety of data types using lengths and can be set up for species tracked for</w:t>
      </w:r>
      <w:r>
        <w:t xml:space="preserve"> </w:t>
      </w:r>
      <w:r>
        <w:t xml:space="preserve">sexual dimorphic growth and other processes. Since it has been recast into TMB, it allows</w:t>
      </w:r>
      <w:r>
        <w:t xml:space="preserve"> </w:t>
      </w:r>
      <w:r>
        <w:t xml:space="preserve">for the ability to specify random effects in a number of processes. One development of the</w:t>
      </w:r>
      <w:r>
        <w:t xml:space="preserve"> </w:t>
      </w:r>
      <w:r>
        <w:t xml:space="preserve">model is to have the flexibility to bridge among extant single-species modeling platforms</w:t>
      </w:r>
      <w:r>
        <w:t xml:space="preserve"> </w:t>
      </w:r>
      <w:r>
        <w:t xml:space="preserve">by using it in</w:t>
      </w:r>
      <w:r>
        <w:t xml:space="preserve"> </w:t>
      </w:r>
      <w:r>
        <w:t xml:space="preserve">“single-species”</w:t>
      </w:r>
      <w:r>
        <w:t xml:space="preserve"> </w:t>
      </w:r>
      <w:r>
        <w:t xml:space="preserve">mode. To illustrate that, we introduce an application of</w:t>
      </w:r>
      <w:r>
        <w:t xml:space="preserve"> </w:t>
      </w:r>
      <w:r>
        <w:t xml:space="preserve">Rceattle to the EBS pollock data set. The model is not yet fully developed, but we present</w:t>
      </w:r>
      <w:r>
        <w:t xml:space="preserve"> </w:t>
      </w:r>
      <w:r>
        <w:t xml:space="preserve">preliminary results for consideration. Initial runs are favorable but further work is</w:t>
      </w:r>
      <w:r>
        <w:t xml:space="preserve"> </w:t>
      </w:r>
      <w:r>
        <w:t xml:space="preserve">needed to bridge the selectivity options (</w:t>
      </w:r>
      <w:hyperlink w:anchor="fig-rceattle">
        <w:r>
          <w:rPr>
            <w:rStyle w:val="Hyperlink"/>
          </w:rPr>
          <w:t xml:space="preserve">Figure 26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40" w:name="fig-rceattle"/>
          <w:p>
            <w:pPr>
              <w:pStyle w:val="Compact"/>
              <w:jc w:val="center"/>
            </w:pPr>
            <w:r>
              <w:drawing>
                <wp:inline>
                  <wp:extent cx="5334000" cy="4267200"/>
                  <wp:effectExtent b="0" l="0" r="0" t="0"/>
                  <wp:docPr descr="" title="" id="138" name="Picture"/>
                  <a:graphic>
                    <a:graphicData uri="http://schemas.openxmlformats.org/drawingml/2006/picture">
                      <pic:pic>
                        <pic:nvPicPr>
                          <pic:cNvPr descr="CIE_files/figure-docx/fig-rceattle-1.png" id="139" name="Picture"/>
                          <pic:cNvPicPr>
                            <a:picLocks noChangeArrowheads="1" noChangeAspect="1"/>
                          </pic:cNvPicPr>
                        </pic:nvPicPr>
                        <pic:blipFill>
                          <a:blip r:embed="rId137"/>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26: Model results comparing last year’s model with the Rceattle model.</w:t>
            </w:r>
          </w:p>
          <w:bookmarkEnd w:id="140"/>
        </w:tc>
      </w:tr>
    </w:tbl>
    <w:tbl>
      <w:tblPr>
        <w:tblStyle w:val="Table"/>
        <w:tblW w:type="pct" w:w="5000"/>
        <w:tblLayout w:type="fixed"/>
        <w:tblLook w:firstRow="0" w:lastRow="0" w:firstColumn="0" w:lastColumn="0" w:noHBand="0" w:noVBand="0" w:val="0000"/>
      </w:tblPr>
      <w:tblGrid>
        <w:gridCol w:w="7920"/>
      </w:tblGrid>
      <w:tr>
        <w:tc>
          <w:tcPr/>
          <w:bookmarkStart w:id="144" w:name="fig-rceattle_ts"/>
          <w:p>
            <w:pPr>
              <w:pStyle w:val="Compact"/>
              <w:jc w:val="center"/>
            </w:pPr>
            <w:r>
              <w:drawing>
                <wp:inline>
                  <wp:extent cx="5334000" cy="4267200"/>
                  <wp:effectExtent b="0" l="0" r="0" t="0"/>
                  <wp:docPr descr="" title="" id="142" name="Picture"/>
                  <a:graphic>
                    <a:graphicData uri="http://schemas.openxmlformats.org/drawingml/2006/picture">
                      <pic:pic>
                        <pic:nvPicPr>
                          <pic:cNvPr descr="CIE_files/figure-docx/fig-rceattle_ts-1.png" id="143" name="Picture"/>
                          <pic:cNvPicPr>
                            <a:picLocks noChangeArrowheads="1" noChangeAspect="1"/>
                          </pic:cNvPicPr>
                        </pic:nvPicPr>
                        <pic:blipFill>
                          <a:blip r:embed="rId141"/>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27: Model results comparing last year’s model with the Rceattle model.</w:t>
            </w:r>
          </w:p>
          <w:bookmarkEnd w:id="144"/>
        </w:tc>
      </w:tr>
    </w:tbl>
    <w:tbl>
      <w:tblPr>
        <w:tblStyle w:val="Table"/>
        <w:tblW w:type="pct" w:w="5000"/>
        <w:tblLayout w:type="fixed"/>
        <w:tblLook w:firstRow="0" w:lastRow="0" w:firstColumn="0" w:lastColumn="0" w:noHBand="0" w:noVBand="0" w:val="0000"/>
      </w:tblPr>
      <w:tblGrid>
        <w:gridCol w:w="7920"/>
      </w:tblGrid>
      <w:tr>
        <w:tc>
          <w:tcPr/>
          <w:bookmarkStart w:id="148" w:name="fig-all"/>
          <w:p>
            <w:pPr>
              <w:pStyle w:val="Compact"/>
              <w:jc w:val="center"/>
            </w:pPr>
            <w:r>
              <w:drawing>
                <wp:inline>
                  <wp:extent cx="5334000" cy="4267200"/>
                  <wp:effectExtent b="0" l="0" r="0" t="0"/>
                  <wp:docPr descr="" title="" id="146" name="Picture"/>
                  <a:graphic>
                    <a:graphicData uri="http://schemas.openxmlformats.org/drawingml/2006/picture">
                      <pic:pic>
                        <pic:nvPicPr>
                          <pic:cNvPr descr="CIE_files/figure-docx/fig-all-1.png" id="147" name="Picture"/>
                          <pic:cNvPicPr>
                            <a:picLocks noChangeArrowheads="1" noChangeAspect="1"/>
                          </pic:cNvPicPr>
                        </pic:nvPicPr>
                        <pic:blipFill>
                          <a:blip r:embed="rId145"/>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28: Model results comparing last year’s model with the Rceattle model.</w:t>
            </w:r>
          </w:p>
          <w:bookmarkEnd w:id="148"/>
        </w:tc>
      </w:tr>
    </w:tbl>
    <w:tbl>
      <w:tblPr>
        <w:tblStyle w:val="Table"/>
        <w:tblW w:type="pct" w:w="5000"/>
        <w:tblLayout w:type="fixed"/>
        <w:tblLook w:firstRow="0" w:lastRow="0" w:firstColumn="0" w:lastColumn="0" w:noHBand="0" w:noVBand="0" w:val="0000"/>
      </w:tblPr>
      <w:tblGrid>
        <w:gridCol w:w="7920"/>
      </w:tblGrid>
      <w:tr>
        <w:tc>
          <w:tcPr/>
          <w:bookmarkStart w:id="152" w:name="fig-all_ts-1"/>
          <w:p>
            <w:pPr>
              <w:pStyle w:val="Compact"/>
              <w:jc w:val="center"/>
            </w:pPr>
            <w:r>
              <w:drawing>
                <wp:inline>
                  <wp:extent cx="5334000" cy="4267200"/>
                  <wp:effectExtent b="0" l="0" r="0" t="0"/>
                  <wp:docPr descr="" title="" id="150" name="Picture"/>
                  <a:graphic>
                    <a:graphicData uri="http://schemas.openxmlformats.org/drawingml/2006/picture">
                      <pic:pic>
                        <pic:nvPicPr>
                          <pic:cNvPr descr="CIE_files/figure-docx/fig-all_ts-1.png" id="151" name="Picture"/>
                          <pic:cNvPicPr>
                            <a:picLocks noChangeArrowheads="1" noChangeAspect="1"/>
                          </pic:cNvPicPr>
                        </pic:nvPicPr>
                        <pic:blipFill>
                          <a:blip r:embed="rId149"/>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29: Model results comparing last year’s model with the Rceattle model.</w:t>
            </w:r>
          </w:p>
          <w:bookmarkEnd w:id="152"/>
        </w:tc>
      </w:tr>
    </w:tbl>
    <w:tbl>
      <w:tblPr>
        <w:tblStyle w:val="Table"/>
        <w:tblW w:type="pct" w:w="5000"/>
        <w:tblLayout w:type="fixed"/>
        <w:tblLook w:firstRow="0" w:lastRow="0" w:firstColumn="0" w:lastColumn="0" w:noHBand="0" w:noVBand="0" w:val="0000"/>
      </w:tblPr>
      <w:tblGrid>
        <w:gridCol w:w="7920"/>
      </w:tblGrid>
      <w:tr>
        <w:tc>
          <w:tcPr/>
          <w:bookmarkStart w:id="156" w:name="fig-all_ts-2"/>
          <w:p>
            <w:pPr>
              <w:pStyle w:val="Compact"/>
              <w:jc w:val="center"/>
            </w:pPr>
            <w:r>
              <w:drawing>
                <wp:inline>
                  <wp:extent cx="5334000" cy="4267200"/>
                  <wp:effectExtent b="0" l="0" r="0" t="0"/>
                  <wp:docPr descr="" title="" id="154" name="Picture"/>
                  <a:graphic>
                    <a:graphicData uri="http://schemas.openxmlformats.org/drawingml/2006/picture">
                      <pic:pic>
                        <pic:nvPicPr>
                          <pic:cNvPr descr="CIE_files/figure-docx/fig-all_ts-2.png" id="155" name="Picture"/>
                          <pic:cNvPicPr>
                            <a:picLocks noChangeArrowheads="1" noChangeAspect="1"/>
                          </pic:cNvPicPr>
                        </pic:nvPicPr>
                        <pic:blipFill>
                          <a:blip r:embed="rId153"/>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30: Model results comparing last year’s model with the Rceattle model.</w:t>
            </w:r>
          </w:p>
          <w:bookmarkEnd w:id="156"/>
        </w:tc>
      </w:tr>
    </w:tbl>
    <w:bookmarkEnd w:id="157"/>
    <w:bookmarkStart w:id="170" w:name="X32087cd146e8c8deb7daff65d184f624eb645fb"/>
    <w:p>
      <w:pPr>
        <w:pStyle w:val="Heading2"/>
      </w:pPr>
      <w:r>
        <w:t xml:space="preserve">Spatial modeling of the EBS pollock stock</w:t>
      </w:r>
    </w:p>
    <w:p>
      <w:pPr>
        <w:pStyle w:val="FirstParagraph"/>
      </w:pPr>
      <w:r>
        <w:t xml:space="preserve">In development is a spatially disaggregated general model by colleagues at the Auke Bay</w:t>
      </w:r>
      <w:r>
        <w:t xml:space="preserve"> </w:t>
      </w:r>
      <w:r>
        <w:t xml:space="preserve">lab and the University of Alaska, Fairbanks (</w:t>
      </w:r>
      <w:r>
        <w:t xml:space="preserve">M. Cheng (2025)</w:t>
      </w:r>
      <w:r>
        <w:t xml:space="preserve">). This general model which has</w:t>
      </w:r>
      <w:r>
        <w:t xml:space="preserve"> </w:t>
      </w:r>
      <w:r>
        <w:t xml:space="preserve">flexibility to specify regions and a variety of options including random effects. While</w:t>
      </w:r>
      <w:r>
        <w:t xml:space="preserve"> </w:t>
      </w:r>
      <w:r>
        <w:t xml:space="preserve">this model is not yet fully developed, we present preliminary results here. The model is</w:t>
      </w:r>
      <w:r>
        <w:t xml:space="preserve"> </w:t>
      </w:r>
      <w:r>
        <w:t xml:space="preserve">written in RTMB and is similar to the WHAM model. We pursue this to explore the potential</w:t>
      </w:r>
      <w:r>
        <w:t xml:space="preserve"> </w:t>
      </w:r>
      <w:r>
        <w:t xml:space="preserve">for a more flexible model that can be used for more explicit considerations of stocks</w:t>
      </w:r>
      <w:r>
        <w:t xml:space="preserve"> </w:t>
      </w:r>
      <w:r>
        <w:t xml:space="preserve">linked to different regions (e.g., the US and Russian portions of the EBS). Also, this</w:t>
      </w:r>
      <w:r>
        <w:t xml:space="preserve"> </w:t>
      </w:r>
      <w:r>
        <w:t xml:space="preserve">model to add sex-specificity and random effects (</w:t>
      </w:r>
      <w:r>
        <w:t xml:space="preserve">M. L. H. Cheng et al. (2025)</w:t>
      </w:r>
      <w:r>
        <w:t xml:space="preserve">).</w:t>
      </w:r>
    </w:p>
    <w:p>
      <w:pPr>
        <w:pStyle w:val="BodyText"/>
      </w:pPr>
      <w:hyperlink w:anchor="fig-spock_sel">
        <w:r>
          <w:rPr>
            <w:rStyle w:val="Hyperlink"/>
          </w:rPr>
          <w:t xml:space="preserve">Figure 31</w:t>
        </w:r>
      </w:hyperlink>
      <w:r>
        <w:t xml:space="preserve"> </w:t>
      </w:r>
      <w:r>
        <w:t xml:space="preserve">shows the model results comparing time-varying selectivity whereas</w:t>
      </w:r>
      <w:r>
        <w:t xml:space="preserve"> </w:t>
      </w:r>
      <w:hyperlink w:anchor="fig-spock_ts-1">
        <w:r>
          <w:rPr>
            <w:rStyle w:val="Hyperlink"/>
          </w:rPr>
          <w:t xml:space="preserve">Figure 32</w:t>
        </w:r>
      </w:hyperlink>
      <w:r>
        <w:t xml:space="preserve"> </w:t>
      </w:r>
      <w:r>
        <w:t xml:space="preserve">shows the model results time series. The difference in the age-1 recruits (</w:t>
      </w:r>
      <w:hyperlink w:anchor="fig-spock_ts-2">
        <w:r>
          <w:rPr>
            <w:rStyle w:val="Hyperlink"/>
          </w:rPr>
          <w:t xml:space="preserve">Figure 33</w:t>
        </w:r>
      </w:hyperlink>
      <w:r>
        <w:t xml:space="preserve">) is</w:t>
      </w:r>
      <w:r>
        <w:t xml:space="preserve"> </w:t>
      </w:r>
      <w:r>
        <w:t xml:space="preserve">likely due to the fact that the spatial model currently has constant M-at-age compared to</w:t>
      </w:r>
      <w:r>
        <w:t xml:space="preserve"> </w:t>
      </w:r>
      <w:r>
        <w:t xml:space="preserve">the base model.</w:t>
      </w:r>
    </w:p>
    <w:tbl>
      <w:tblPr>
        <w:tblStyle w:val="Table"/>
        <w:tblW w:type="pct" w:w="5000"/>
        <w:tblLayout w:type="fixed"/>
        <w:tblLook w:firstRow="0" w:lastRow="0" w:firstColumn="0" w:lastColumn="0" w:noHBand="0" w:noVBand="0" w:val="0000"/>
      </w:tblPr>
      <w:tblGrid>
        <w:gridCol w:w="7920"/>
      </w:tblGrid>
      <w:tr>
        <w:tc>
          <w:tcPr/>
          <w:bookmarkStart w:id="161" w:name="fig-spock_sel"/>
          <w:p>
            <w:pPr>
              <w:pStyle w:val="Compact"/>
              <w:jc w:val="center"/>
            </w:pPr>
            <w:r>
              <w:drawing>
                <wp:inline>
                  <wp:extent cx="5334000" cy="4267200"/>
                  <wp:effectExtent b="0" l="0" r="0" t="0"/>
                  <wp:docPr descr="" title="" id="159" name="Picture"/>
                  <a:graphic>
                    <a:graphicData uri="http://schemas.openxmlformats.org/drawingml/2006/picture">
                      <pic:pic>
                        <pic:nvPicPr>
                          <pic:cNvPr descr="CIE_files/figure-docx/fig-spock_sel-1.png" id="160" name="Picture"/>
                          <pic:cNvPicPr>
                            <a:picLocks noChangeArrowheads="1" noChangeAspect="1"/>
                          </pic:cNvPicPr>
                        </pic:nvPicPr>
                        <pic:blipFill>
                          <a:blip r:embed="rId158"/>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31: Model results comparing last year’s model with the SPock model.</w:t>
            </w:r>
          </w:p>
          <w:bookmarkEnd w:id="161"/>
        </w:tc>
      </w:tr>
    </w:tbl>
    <w:tbl>
      <w:tblPr>
        <w:tblStyle w:val="Table"/>
        <w:tblW w:type="pct" w:w="5000"/>
        <w:tblLayout w:type="fixed"/>
        <w:tblLook w:firstRow="0" w:lastRow="0" w:firstColumn="0" w:lastColumn="0" w:noHBand="0" w:noVBand="0" w:val="0000"/>
      </w:tblPr>
      <w:tblGrid>
        <w:gridCol w:w="7920"/>
      </w:tblGrid>
      <w:tr>
        <w:tc>
          <w:tcPr/>
          <w:bookmarkStart w:id="165" w:name="fig-spock_ts-1"/>
          <w:p>
            <w:pPr>
              <w:pStyle w:val="Compact"/>
              <w:jc w:val="center"/>
            </w:pPr>
            <w:r>
              <w:drawing>
                <wp:inline>
                  <wp:extent cx="5334000" cy="2667000"/>
                  <wp:effectExtent b="0" l="0" r="0" t="0"/>
                  <wp:docPr descr="" title="" id="163" name="Picture"/>
                  <a:graphic>
                    <a:graphicData uri="http://schemas.openxmlformats.org/drawingml/2006/picture">
                      <pic:pic>
                        <pic:nvPicPr>
                          <pic:cNvPr descr="CIE_files/figure-docx/fig-spock_ts-1.png" id="164" name="Picture"/>
                          <pic:cNvPicPr>
                            <a:picLocks noChangeArrowheads="1" noChangeAspect="1"/>
                          </pic:cNvPicPr>
                        </pic:nvPicPr>
                        <pic:blipFill>
                          <a:blip r:embed="rId162"/>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32: Model results comparing last year’s model with the SPock model.</w:t>
            </w:r>
          </w:p>
          <w:bookmarkEnd w:id="165"/>
        </w:tc>
      </w:tr>
    </w:tbl>
    <w:tbl>
      <w:tblPr>
        <w:tblStyle w:val="Table"/>
        <w:tblW w:type="pct" w:w="5000"/>
        <w:tblLayout w:type="fixed"/>
        <w:tblLook w:firstRow="0" w:lastRow="0" w:firstColumn="0" w:lastColumn="0" w:noHBand="0" w:noVBand="0" w:val="0000"/>
      </w:tblPr>
      <w:tblGrid>
        <w:gridCol w:w="7920"/>
      </w:tblGrid>
      <w:tr>
        <w:tc>
          <w:tcPr/>
          <w:bookmarkStart w:id="169" w:name="fig-spock_ts-2"/>
          <w:p>
            <w:pPr>
              <w:pStyle w:val="Compact"/>
              <w:jc w:val="center"/>
            </w:pPr>
            <w:r>
              <w:drawing>
                <wp:inline>
                  <wp:extent cx="5334000" cy="2667000"/>
                  <wp:effectExtent b="0" l="0" r="0" t="0"/>
                  <wp:docPr descr="" title="" id="167" name="Picture"/>
                  <a:graphic>
                    <a:graphicData uri="http://schemas.openxmlformats.org/drawingml/2006/picture">
                      <pic:pic>
                        <pic:nvPicPr>
                          <pic:cNvPr descr="CIE_files/figure-docx/fig-spock_ts-2.png" id="168" name="Picture"/>
                          <pic:cNvPicPr>
                            <a:picLocks noChangeArrowheads="1" noChangeAspect="1"/>
                          </pic:cNvPicPr>
                        </pic:nvPicPr>
                        <pic:blipFill>
                          <a:blip r:embed="rId166"/>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33: Model results comparing last year’s model with the SPock model.</w:t>
            </w:r>
          </w:p>
          <w:bookmarkEnd w:id="169"/>
        </w:tc>
      </w:tr>
    </w:tbl>
    <w:bookmarkEnd w:id="170"/>
    <w:bookmarkEnd w:id="171"/>
    <w:bookmarkStart w:id="178" w:name="X2ca98e5c32d63d527c2188348bd8baaabbd45e2"/>
    <w:p>
      <w:pPr>
        <w:pStyle w:val="Heading1"/>
      </w:pPr>
      <w:r>
        <w:t xml:space="preserve">Bottom-trawl survey spatial distribution modeling</w:t>
      </w:r>
    </w:p>
    <w:bookmarkStart w:id="172" w:name="abundance-index-methods"/>
    <w:p>
      <w:pPr>
        <w:pStyle w:val="Heading2"/>
      </w:pPr>
      <w:r>
        <w:t xml:space="preserve">Abundance Index Methods</w:t>
      </w:r>
    </w:p>
    <w:p>
      <w:pPr>
        <w:pStyle w:val="FirstParagraph"/>
      </w:pPr>
      <w:r>
        <w:t xml:space="preserve">For model-based indices in the Bering Sea, we fitted observations of numerical abundance</w:t>
      </w:r>
      <w:r>
        <w:t xml:space="preserve"> </w:t>
      </w:r>
      <w:r>
        <w:t xml:space="preserve">or biomass per unit area (where the choice of abundance or biomass varied by stock at the</w:t>
      </w:r>
      <w:r>
        <w:t xml:space="preserve"> </w:t>
      </w:r>
      <w:r>
        <w:t xml:space="preserve">request of assessors) from all sampling locations in the 83-112 bottom trawl survey of the</w:t>
      </w:r>
      <w:r>
        <w:t xml:space="preserve"> </w:t>
      </w:r>
      <w:r>
        <w:t xml:space="preserve">EBS, 1982-2025, including:</w:t>
      </w:r>
    </w:p>
    <w:p>
      <w:pPr>
        <w:pStyle w:val="Compact"/>
        <w:numPr>
          <w:ilvl w:val="0"/>
          <w:numId w:val="1001"/>
        </w:numPr>
      </w:pPr>
      <w:r>
        <w:t xml:space="preserve">Exploratory northern extension samples in 2001, 2005, and 2006</w:t>
      </w:r>
    </w:p>
    <w:p>
      <w:pPr>
        <w:pStyle w:val="Compact"/>
        <w:numPr>
          <w:ilvl w:val="0"/>
          <w:numId w:val="1001"/>
        </w:numPr>
      </w:pPr>
      <w:r>
        <w:t xml:space="preserve">83-112 samples available in the NBS in 1982, 1985, 1988, 1991, 2010, 2017-2019,</w:t>
      </w:r>
      <w:r>
        <w:t xml:space="preserve"> </w:t>
      </w:r>
      <w:r>
        <w:t xml:space="preserve">2021-2023, and 2025</w:t>
      </w:r>
    </w:p>
    <w:p>
      <w:pPr>
        <w:pStyle w:val="FirstParagraph"/>
      </w:pPr>
      <w:r>
        <w:t xml:space="preserve">NBS samples collected prior to 2010 and in 2018 did not follow the 20 nautical mile</w:t>
      </w:r>
      <w:r>
        <w:t xml:space="preserve"> </w:t>
      </w:r>
      <w:r>
        <w:t xml:space="preserve">sampling grid that was used in other survey years. Assimilating these unbalanced data</w:t>
      </w:r>
      <w:r>
        <w:t xml:space="preserve"> </w:t>
      </w:r>
      <w:r>
        <w:t xml:space="preserve">requires extrapolating into unsampled areas, facilitated by including a spatially varying</w:t>
      </w:r>
      <w:r>
        <w:t xml:space="preserve"> </w:t>
      </w:r>
      <w:r>
        <w:t xml:space="preserve">response to cold-pool extent</w:t>
      </w:r>
      <w:r>
        <w:t xml:space="preserve"> </w:t>
      </w:r>
      <w:r>
        <w:t xml:space="preserve">(Thorson 2019)</w:t>
      </w:r>
      <w:r>
        <w:t xml:space="preserve">. This spatially varying coefficient term was</w:t>
      </w:r>
      <w:r>
        <w:t xml:space="preserve"> </w:t>
      </w:r>
      <w:r>
        <w:t xml:space="preserve">estimated for both linear predictors of a delta-model, and detailed comparison of results</w:t>
      </w:r>
      <w:r>
        <w:t xml:space="preserve"> </w:t>
      </w:r>
      <w:r>
        <w:t xml:space="preserve">for EBS pollock has shown that it has a small but notable effect on these indices and</w:t>
      </w:r>
      <w:r>
        <w:t xml:space="preserve"> </w:t>
      </w:r>
      <w:r>
        <w:t xml:space="preserve">resulting stock assessment outputs</w:t>
      </w:r>
      <w:r>
        <w:t xml:space="preserve"> </w:t>
      </w:r>
      <w:r>
        <w:t xml:space="preserve">(O’Leary et al. 2020)</w:t>
      </w:r>
      <w:r>
        <w:t xml:space="preserve">.</w:t>
      </w:r>
    </w:p>
    <w:p>
      <w:pPr>
        <w:pStyle w:val="BodyText"/>
      </w:pPr>
      <w:r>
        <w:t xml:space="preserve">Rather than using the cold-pool covariate for yellowfin sole, we instead used the mean</w:t>
      </w:r>
      <w:r>
        <w:t xml:space="preserve"> </w:t>
      </w:r>
      <w:r>
        <w:t xml:space="preserve">bottom temperature within the inner and middle domain strata from an interpolated</w:t>
      </w:r>
      <w:r>
        <w:t xml:space="preserve"> </w:t>
      </w:r>
      <w:r>
        <w:t xml:space="preserve">temperature product. All models were fitted in the sdmTMB R package</w:t>
      </w:r>
      <w:r>
        <w:t xml:space="preserve"> </w:t>
      </w:r>
      <w:r>
        <w:t xml:space="preserve">(https://pbs-assess.github.io/sdmTMB;</w:t>
      </w:r>
      <w:r>
        <w:t xml:space="preserve"> </w:t>
      </w:r>
      <w:r>
        <w:t xml:space="preserve">Anderson et al. (2022)</w:t>
      </w:r>
      <w:r>
        <w:t xml:space="preserve">). All environmental data used as</w:t>
      </w:r>
      <w:r>
        <w:t xml:space="preserve"> </w:t>
      </w:r>
      <w:r>
        <w:t xml:space="preserve">covariates were computed within the coldpool R package</w:t>
      </w:r>
      <w:r>
        <w:t xml:space="preserve"> </w:t>
      </w:r>
      <w:r>
        <w:t xml:space="preserve">(https://github.com/afsc-gap-products/coldpool;</w:t>
      </w:r>
      <w:r>
        <w:t xml:space="preserve"> </w:t>
      </w:r>
      <w:r>
        <w:t xml:space="preserve">Rohan, Barnett, and Charriere (2022)</w:t>
      </w:r>
      <w:r>
        <w:t xml:space="preserve">).</w:t>
      </w:r>
    </w:p>
    <w:p>
      <w:pPr>
        <w:pStyle w:val="BodyText"/>
      </w:pPr>
      <w:r>
        <w:t xml:space="preserve">We used a spatiotemporal Poisson-link delta-model</w:t>
      </w:r>
      <w:r>
        <w:t xml:space="preserve"> </w:t>
      </w:r>
      <w:r>
        <w:t xml:space="preserve">(Thorson 2018)</w:t>
      </w:r>
      <w:r>
        <w:t xml:space="preserve"> </w:t>
      </w:r>
      <w:r>
        <w:t xml:space="preserve">involving two linear</w:t>
      </w:r>
      <w:r>
        <w:t xml:space="preserve"> </w:t>
      </w:r>
      <w:r>
        <w:t xml:space="preserve">predictors and a gamma distribution to model positive catch rates. We predicted population</w:t>
      </w:r>
      <w:r>
        <w:t xml:space="preserve"> </w:t>
      </w:r>
      <w:r>
        <w:t xml:space="preserve">density across the entire EBS and NBS in each year, using AFSC GAP-approved prediction</w:t>
      </w:r>
      <w:r>
        <w:t xml:space="preserve"> </w:t>
      </w:r>
      <w:r>
        <w:t xml:space="preserve">grids. Spatial and spatiotemporal fields were estimated using a spatial mesh including 250</w:t>
      </w:r>
      <w:r>
        <w:t xml:space="preserve"> </w:t>
      </w:r>
      <w:r>
        <w:t xml:space="preserve">“knots”</w:t>
      </w:r>
      <w:r>
        <w:t xml:space="preserve"> </w:t>
      </w:r>
      <w:r>
        <w:t xml:space="preserve">whose locations were determined using a K-means algorithm to place the knots</w:t>
      </w:r>
      <w:r>
        <w:t xml:space="preserve"> </w:t>
      </w:r>
      <w:r>
        <w:t xml:space="preserve">evenly over space, in proportion to the dimensions of the prediction grid.</w:t>
      </w:r>
    </w:p>
    <w:p>
      <w:pPr>
        <w:pStyle w:val="BodyText"/>
      </w:pPr>
      <w:r>
        <w:t xml:space="preserve">While the prior VAST model was fitted with a 750 knot mesh, we found that sdmTMB models</w:t>
      </w:r>
      <w:r>
        <w:t xml:space="preserve"> </w:t>
      </w:r>
      <w:r>
        <w:t xml:space="preserve">fitted with mesh resolutions from 250-750 knots all provided extremely similar index</w:t>
      </w:r>
      <w:r>
        <w:t xml:space="preserve"> </w:t>
      </w:r>
      <w:r>
        <w:t xml:space="preserve">estimates and that reducing the number of knots dramatically improved computation time. We</w:t>
      </w:r>
      <w:r>
        <w:t xml:space="preserve"> </w:t>
      </w:r>
      <w:r>
        <w:t xml:space="preserve">estimated geometric anisotropy (how spatial autocorrelation declines with differing rates</w:t>
      </w:r>
      <w:r>
        <w:t xml:space="preserve"> </w:t>
      </w:r>
      <w:r>
        <w:t xml:space="preserve">over distance in some cardinal directions than others) and included a spatial and</w:t>
      </w:r>
      <w:r>
        <w:t xml:space="preserve"> </w:t>
      </w:r>
      <w:r>
        <w:t xml:space="preserve">spatiotemporal term for both linear predictors.</w:t>
      </w:r>
    </w:p>
    <w:p>
      <w:pPr>
        <w:pStyle w:val="BodyText"/>
      </w:pPr>
      <w:r>
        <w:t xml:space="preserve">To facilitate prediction of density in regions with unsampled years, we specified that the</w:t>
      </w:r>
      <w:r>
        <w:t xml:space="preserve"> </w:t>
      </w:r>
      <w:r>
        <w:t xml:space="preserve">spatiotemporal fields were structured over time as an AR(1) process (where the magnitude</w:t>
      </w:r>
      <w:r>
        <w:t xml:space="preserve"> </w:t>
      </w:r>
      <w:r>
        <w:t xml:space="preserve">of autocorrelation was estimated as a fixed effect for each linear predictor). However, in</w:t>
      </w:r>
      <w:r>
        <w:t xml:space="preserve"> </w:t>
      </w:r>
      <w:r>
        <w:t xml:space="preserve">cases where the AR(1) correlation parameter ⍴ was estimated to be close to 1 for either</w:t>
      </w:r>
      <w:r>
        <w:t xml:space="preserve"> </w:t>
      </w:r>
      <w:r>
        <w:t xml:space="preserve">model component, the model would be collapsed into a simpler structure by specifying ⍴ =</w:t>
      </w:r>
      <w:r>
        <w:t xml:space="preserve"> </w:t>
      </w:r>
      <w:r>
        <w:t xml:space="preserve">1, i.e., modeling spatiotemporal variation as a random walk. We did not include any</w:t>
      </w:r>
      <w:r>
        <w:t xml:space="preserve"> </w:t>
      </w:r>
      <w:r>
        <w:t xml:space="preserve">temporal correlation for intercepts, which we treated as fixed effects for each linear</w:t>
      </w:r>
      <w:r>
        <w:t xml:space="preserve"> </w:t>
      </w:r>
      <w:r>
        <w:t xml:space="preserve">predictor and year. Finally, we used epsilon bias-correction to correct for</w:t>
      </w:r>
      <w:r>
        <w:t xml:space="preserve"> </w:t>
      </w:r>
      <w:r>
        <w:t xml:space="preserve">retransformation bias</w:t>
      </w:r>
      <w:r>
        <w:t xml:space="preserve"> </w:t>
      </w:r>
      <w:r>
        <w:t xml:space="preserve">(Thorson and Kristensen 2016)</w:t>
      </w:r>
      <w:r>
        <w:t xml:space="preserve">.</w:t>
      </w:r>
    </w:p>
    <w:p>
      <w:pPr>
        <w:pStyle w:val="BodyText"/>
      </w:pPr>
      <w:r>
        <w:t xml:space="preserve">We checked model fits for convergence by confirming that the derivative of the marginal</w:t>
      </w:r>
      <w:r>
        <w:t xml:space="preserve"> </w:t>
      </w:r>
      <w:r>
        <w:t xml:space="preserve">likelihood with respect to each fixed effect was sufficiently small (less than ~ 0.001)</w:t>
      </w:r>
      <w:r>
        <w:t xml:space="preserve"> </w:t>
      </w:r>
      <w:r>
        <w:t xml:space="preserve">and that the Hessian matrix was positive definite, along with other model checks produced</w:t>
      </w:r>
      <w:r>
        <w:t xml:space="preserve"> </w:t>
      </w:r>
      <w:r>
        <w:t xml:space="preserve">by the function</w:t>
      </w:r>
      <w:r>
        <w:t xml:space="preserve"> </w:t>
      </w:r>
      <w:r>
        <w:rPr>
          <w:rStyle w:val="VerbatimChar"/>
        </w:rPr>
        <w:t xml:space="preserve">sdmTMB::sanity()</w:t>
      </w:r>
      <w:r>
        <w:t xml:space="preserve">. We then checked goodness of model fit by computing</w:t>
      </w:r>
      <w:r>
        <w:t xml:space="preserve"> </w:t>
      </w:r>
      <w:r>
        <w:t xml:space="preserve">Dunn-Smyth randomized quantile residuals</w:t>
      </w:r>
      <w:r>
        <w:t xml:space="preserve"> </w:t>
      </w:r>
      <w:r>
        <w:t xml:space="preserve">(Dunn and Smyth 1996)</w:t>
      </w:r>
      <w:r>
        <w:t xml:space="preserve"> </w:t>
      </w:r>
      <w:r>
        <w:t xml:space="preserve">and visualizing these using a</w:t>
      </w:r>
      <w:r>
        <w:t xml:space="preserve"> </w:t>
      </w:r>
      <w:r>
        <w:t xml:space="preserve">quantile-quantile plot within the DHARMa R package</w:t>
      </w:r>
      <w:r>
        <w:t xml:space="preserve"> </w:t>
      </w:r>
      <w:r>
        <w:t xml:space="preserve">(Hartig 2021)</w:t>
      </w:r>
      <w:r>
        <w:t xml:space="preserve">. We also evaluated the</w:t>
      </w:r>
      <w:r>
        <w:t xml:space="preserve"> </w:t>
      </w:r>
      <w:r>
        <w:t xml:space="preserve">distribution of these residuals over space in each year, and inspected them for evidence</w:t>
      </w:r>
      <w:r>
        <w:t xml:space="preserve"> </w:t>
      </w:r>
      <w:r>
        <w:t xml:space="preserve">of residual spatiotemporal patterns.</w:t>
      </w:r>
    </w:p>
    <w:bookmarkEnd w:id="172"/>
    <w:bookmarkStart w:id="177" w:name="model-based-age-composition-methods"/>
    <w:p>
      <w:pPr>
        <w:pStyle w:val="Heading2"/>
      </w:pPr>
      <w:r>
        <w:t xml:space="preserve">Model-based Age Composition Methods</w:t>
      </w:r>
    </w:p>
    <w:p>
      <w:pPr>
        <w:pStyle w:val="FirstParagraph"/>
      </w:pPr>
      <w:r>
        <w:t xml:space="preserve">For model-based estimation of age compositions in the Bering Sea, we fitted observations</w:t>
      </w:r>
      <w:r>
        <w:t xml:space="preserve"> </w:t>
      </w:r>
      <w:r>
        <w:t xml:space="preserve">of numerical abundance-at-age at each sampling location. This was made possible by</w:t>
      </w:r>
      <w:r>
        <w:t xml:space="preserve"> </w:t>
      </w:r>
      <w:r>
        <w:t xml:space="preserve">applying a year-specific, region-specific (EBS and NBS) age-length key to records of</w:t>
      </w:r>
      <w:r>
        <w:t xml:space="preserve"> </w:t>
      </w:r>
      <w:r>
        <w:t xml:space="preserve">numerical abundance and length composition. In subcategories (combinations of year,</w:t>
      </w:r>
      <w:r>
        <w:t xml:space="preserve"> </w:t>
      </w:r>
      <w:r>
        <w:t xml:space="preserve">length, age, sex) that contained insufficient data, age composition was computed from</w:t>
      </w:r>
      <w:r>
        <w:t xml:space="preserve"> </w:t>
      </w:r>
      <w:r>
        <w:t xml:space="preserve">length composition given a globally pooled age-length key.</w:t>
      </w:r>
    </w:p>
    <w:p>
      <w:pPr>
        <w:pStyle w:val="BodyText"/>
      </w:pPr>
      <w:r>
        <w:t xml:space="preserve">We computed these estimates in the tinyVAST R package</w:t>
      </w:r>
      <w:r>
        <w:t xml:space="preserve"> </w:t>
      </w:r>
      <w:r>
        <w:t xml:space="preserve">(https://vast-lib.github.io/tinyVAST;</w:t>
      </w:r>
      <w:r>
        <w:t xml:space="preserve"> </w:t>
      </w:r>
      <w:r>
        <w:t xml:space="preserve">Thorson et al. (2024)</w:t>
      </w:r>
      <w:r>
        <w:t xml:space="preserve">), assuming a Poisson-link delta-model</w:t>
      </w:r>
      <w:r>
        <w:t xml:space="preserve"> </w:t>
      </w:r>
      <w:r>
        <w:t xml:space="preserve">(Thorson 2018)</w:t>
      </w:r>
      <w:r>
        <w:t xml:space="preserve"> </w:t>
      </w:r>
      <w:r>
        <w:t xml:space="preserve">involving two linear predictors, and a gamma distribution to model positive</w:t>
      </w:r>
      <w:r>
        <w:t xml:space="preserve"> </w:t>
      </w:r>
      <w:r>
        <w:t xml:space="preserve">catch rates. We did not include any density covariates in estimation of age composition</w:t>
      </w:r>
      <w:r>
        <w:t xml:space="preserve"> </w:t>
      </w:r>
      <w:r>
        <w:t xml:space="preserve">for consistency with models used in the previous assessments and due to computational</w:t>
      </w:r>
      <w:r>
        <w:t xml:space="preserve"> </w:t>
      </w:r>
      <w:r>
        <w:t xml:space="preserve">limitations.</w:t>
      </w:r>
    </w:p>
    <w:p>
      <w:pPr>
        <w:pStyle w:val="BodyText"/>
      </w:pPr>
      <w:r>
        <w:t xml:space="preserve">We estimated the spatial range assuming geometric isotropy (i.e, spatial autocorrelation</w:t>
      </w:r>
      <w:r>
        <w:t xml:space="preserve"> </w:t>
      </w:r>
      <w:r>
        <w:t xml:space="preserve">declines with equal rates over distance in all cardinal directions). We used the same</w:t>
      </w:r>
      <w:r>
        <w:t xml:space="preserve"> </w:t>
      </w:r>
      <w:r>
        <w:t xml:space="preserve">extrapolation grid as implemented for abundance indices, but here we modeled spatial and</w:t>
      </w:r>
      <w:r>
        <w:t xml:space="preserve"> </w:t>
      </w:r>
      <w:r>
        <w:t xml:space="preserve">spatiotemporal fields with a mesh with a coarser spatial resolution than the index model,</w:t>
      </w:r>
      <w:r>
        <w:t xml:space="preserve"> </w:t>
      </w:r>
      <w:r>
        <w:t xml:space="preserve">here using 50</w:t>
      </w:r>
      <w:r>
        <w:t xml:space="preserve"> </w:t>
      </w:r>
      <w:r>
        <w:t xml:space="preserve">“knots”</w:t>
      </w:r>
      <w:r>
        <w:t xml:space="preserve">. This reduction in the spatial resolution of the model, relative to</w:t>
      </w:r>
      <w:r>
        <w:t xml:space="preserve"> </w:t>
      </w:r>
      <w:r>
        <w:t xml:space="preserve">that used for the abundance indices, was necessary due to the increased computational load</w:t>
      </w:r>
      <w:r>
        <w:t xml:space="preserve"> </w:t>
      </w:r>
      <w:r>
        <w:t xml:space="preserve">of fitting multiple age categories.</w:t>
      </w:r>
    </w:p>
    <w:p>
      <w:pPr>
        <w:pStyle w:val="BodyText"/>
      </w:pPr>
      <w:r>
        <w:t xml:space="preserve">The estimates of abundance at age were bias-corrected with the same method as the</w:t>
      </w:r>
      <w:r>
        <w:t xml:space="preserve"> </w:t>
      </w:r>
      <w:r>
        <w:t xml:space="preserve">abundance index. We implemented the same diagnostics to check convergence and model fit as</w:t>
      </w:r>
      <w:r>
        <w:t xml:space="preserve"> </w:t>
      </w:r>
      <w:r>
        <w:t xml:space="preserve">those used for the abundance index. Results compared favorably among methods</w:t>
      </w:r>
      <w:r>
        <w:t xml:space="preserve"> </w:t>
      </w:r>
      <w:r>
        <w:t xml:space="preserve">(</w:t>
      </w:r>
      <w:hyperlink w:anchor="fig-sdm_age">
        <w:r>
          <w:rPr>
            <w:rStyle w:val="Hyperlink"/>
          </w:rPr>
          <w:t xml:space="preserve">Figure 34</w:t>
        </w:r>
      </w:hyperlink>
      <w:r>
        <w:t xml:space="preserve">).</w:t>
      </w:r>
    </w:p>
    <w:p>
      <w:pPr>
        <w:pStyle w:val="BodyText"/>
      </w:pPr>
      <w:r>
        <w:t xml:space="preserve">Both the model-based bottom trawl index and age composition estimates were calculated</w:t>
      </w:r>
      <w:r>
        <w:t xml:space="preserve"> </w:t>
      </w:r>
      <w:r>
        <w:t xml:space="preserve">using code in the AFSC GAP model-based indices GitHub repository</w:t>
      </w:r>
      <w:r>
        <w:t xml:space="preserve"> </w:t>
      </w:r>
      <w:r>
        <w:t xml:space="preserve">(https://github.com/afsc-gap-products/model-based-indices). Design-based estimates of</w:t>
      </w:r>
      <w:r>
        <w:t xml:space="preserve"> </w:t>
      </w:r>
      <w:r>
        <w:t xml:space="preserve">bottom trawl products were calculated using code in the gapindex R package</w:t>
      </w:r>
      <w:r>
        <w:t xml:space="preserve"> </w:t>
      </w:r>
      <w:r>
        <w:t xml:space="preserve">(https://github.com/afsc-gap-products/gapindex).</w:t>
      </w:r>
    </w:p>
    <w:tbl>
      <w:tblPr>
        <w:tblStyle w:val="Table"/>
        <w:tblW w:type="pct" w:w="5000"/>
        <w:tblLayout w:type="fixed"/>
        <w:tblLook w:firstRow="0" w:lastRow="0" w:firstColumn="0" w:lastColumn="0" w:noHBand="0" w:noVBand="0" w:val="0000"/>
      </w:tblPr>
      <w:tblGrid>
        <w:gridCol w:w="7920"/>
      </w:tblGrid>
      <w:tr>
        <w:tc>
          <w:tcPr/>
          <w:bookmarkStart w:id="176" w:name="fig-sdm_age"/>
          <w:p>
            <w:pPr>
              <w:pStyle w:val="Compact"/>
              <w:jc w:val="center"/>
            </w:pPr>
            <w:r>
              <w:drawing>
                <wp:inline>
                  <wp:extent cx="5334000" cy="4798793"/>
                  <wp:effectExtent b="0" l="0" r="0" t="0"/>
                  <wp:docPr descr="" title="" id="174" name="Picture"/>
                  <a:graphic>
                    <a:graphicData uri="http://schemas.openxmlformats.org/drawingml/2006/picture">
                      <pic:pic>
                        <pic:nvPicPr>
                          <pic:cNvPr descr="figs/VAST_Age_Compare.png" id="175" name="Picture"/>
                          <pic:cNvPicPr>
                            <a:picLocks noChangeArrowheads="1" noChangeAspect="1"/>
                          </pic:cNvPicPr>
                        </pic:nvPicPr>
                        <pic:blipFill>
                          <a:blip r:embed="rId173"/>
                          <a:stretch>
                            <a:fillRect/>
                          </a:stretch>
                        </pic:blipFill>
                        <pic:spPr bwMode="auto">
                          <a:xfrm>
                            <a:off x="0" y="0"/>
                            <a:ext cx="5334000" cy="4798793"/>
                          </a:xfrm>
                          <a:prstGeom prst="rect">
                            <a:avLst/>
                          </a:prstGeom>
                          <a:noFill/>
                          <a:ln w="9525">
                            <a:noFill/>
                            <a:headEnd/>
                            <a:tailEnd/>
                          </a:ln>
                        </pic:spPr>
                      </pic:pic>
                    </a:graphicData>
                  </a:graphic>
                </wp:inline>
              </w:drawing>
            </w:r>
          </w:p>
          <w:p>
            <w:pPr>
              <w:jc w:val="center"/>
            </w:pPr>
            <w:pPr>
              <w:jc w:val="start"/>
              <w:spacing w:before="200"/>
              <w:pStyle w:val="ImageCaption"/>
            </w:pPr>
            <w:r>
              <w:t xml:space="preserve">Figure 34: Model results comparing last year’s model with the sdmTMB model.</w:t>
            </w:r>
          </w:p>
          <w:bookmarkEnd w:id="176"/>
        </w:tc>
      </w:tr>
    </w:tbl>
    <w:bookmarkEnd w:id="177"/>
    <w:bookmarkEnd w:id="178"/>
    <w:bookmarkStart w:id="219" w:name="references"/>
    <w:p>
      <w:pPr>
        <w:pStyle w:val="Heading1"/>
      </w:pPr>
      <w:r>
        <w:t xml:space="preserve">References</w:t>
      </w:r>
    </w:p>
    <w:bookmarkStart w:id="218" w:name="refs"/>
    <w:bookmarkStart w:id="180" w:name="ref-adams2022"/>
    <w:p>
      <w:pPr>
        <w:pStyle w:val="Bibliography"/>
      </w:pPr>
      <w:r>
        <w:t xml:space="preserve">Adams, Grant D., Kirstin K. Holsman, Steven J. Barbeaux, Martin W. Dorn, James N. Ianelli, Ingrid Spies, Ian J. Stewart, and André E. Punt. 2022.</w:t>
      </w:r>
      <w:r>
        <w:t xml:space="preserve"> </w:t>
      </w:r>
      <w:r>
        <w:t xml:space="preserve">“An Ensemble Approach to Understand Predation Mortality for Groundfish in the Gulf of Alaska.”</w:t>
      </w:r>
      <w:r>
        <w:t xml:space="preserve"> </w:t>
      </w:r>
      <w:r>
        <w:rPr>
          <w:i/>
          <w:iCs/>
        </w:rPr>
        <w:t xml:space="preserve">Fisheries Research</w:t>
      </w:r>
      <w:r>
        <w:t xml:space="preserve"> </w:t>
      </w:r>
      <w:r>
        <w:t xml:space="preserve">251: 106303. https://doi.org/</w:t>
      </w:r>
      <w:hyperlink r:id="rId179">
        <w:r>
          <w:rPr>
            <w:rStyle w:val="Hyperlink"/>
          </w:rPr>
          <w:t xml:space="preserve">https://doi.org/10.1016/j.fishres.2022.106303</w:t>
        </w:r>
      </w:hyperlink>
      <w:r>
        <w:t xml:space="preserve">.</w:t>
      </w:r>
    </w:p>
    <w:bookmarkEnd w:id="180"/>
    <w:bookmarkStart w:id="182" w:name="ref-Anderson2022"/>
    <w:p>
      <w:pPr>
        <w:pStyle w:val="Bibliography"/>
      </w:pPr>
      <w:r>
        <w:t xml:space="preserve">Anderson, S. C., E. J. Ward, P. A. English, and L. A. K. Barnett. 2022.</w:t>
      </w:r>
      <w:r>
        <w:t xml:space="preserve"> </w:t>
      </w:r>
      <w:r>
        <w:t xml:space="preserve">“sdmTMB: An r Package for Fast, Flexible, and User-Friendly Generalized Linear Mixed Effects Models with Spatial and Spatiotemporal Random Fields.”</w:t>
      </w:r>
      <w:r>
        <w:t xml:space="preserve"> </w:t>
      </w:r>
      <w:r>
        <w:rPr>
          <w:i/>
          <w:iCs/>
        </w:rPr>
        <w:t xml:space="preserve">BioRxiv</w:t>
      </w:r>
      <w:r>
        <w:t xml:space="preserve">, 2022–03.</w:t>
      </w:r>
      <w:r>
        <w:t xml:space="preserve"> </w:t>
      </w:r>
      <w:hyperlink r:id="rId181">
        <w:r>
          <w:rPr>
            <w:rStyle w:val="Hyperlink"/>
          </w:rPr>
          <w:t xml:space="preserve">https://doi.org/10.1101/2022.03.24.485545</w:t>
        </w:r>
      </w:hyperlink>
      <w:r>
        <w:t xml:space="preserve">.</w:t>
      </w:r>
    </w:p>
    <w:bookmarkEnd w:id="182"/>
    <w:bookmarkStart w:id="183" w:name="ref-spock"/>
    <w:p>
      <w:pPr>
        <w:pStyle w:val="Bibliography"/>
      </w:pPr>
      <w:r>
        <w:t xml:space="preserve">Cheng, Matthew. 2025.</w:t>
      </w:r>
      <w:r>
        <w:t xml:space="preserve"> </w:t>
      </w:r>
      <w:r>
        <w:rPr>
          <w:i/>
          <w:iCs/>
        </w:rPr>
        <w:t xml:space="preserve">SPoCK: Spatial (s) Population (Po) Model with Connectivity (c) Across Generalized Komponents (k)</w:t>
      </w:r>
      <w:r>
        <w:t xml:space="preserve">.</w:t>
      </w:r>
    </w:p>
    <w:bookmarkEnd w:id="183"/>
    <w:bookmarkStart w:id="185" w:name="ref-cheng2025"/>
    <w:p>
      <w:pPr>
        <w:pStyle w:val="Bibliography"/>
      </w:pPr>
      <w:r>
        <w:t xml:space="preserve">Cheng, Matthew L. H., Daniel R. Goethel, Peter-John F. Hulson, Michael J. Wilberg, Craig Marsh, and Curry J. Cunningham. 2025.</w:t>
      </w:r>
      <w:r>
        <w:t xml:space="preserve"> </w:t>
      </w:r>
      <w:r>
        <w:t xml:space="preserve">“Misspecifying</w:t>
      </w:r>
      <w:r>
        <w:t xml:space="preserve"> </w:t>
      </w:r>
      <w:r>
        <w:t xml:space="preserve">Sex-Structured</w:t>
      </w:r>
      <w:r>
        <w:t xml:space="preserve"> </w:t>
      </w:r>
      <w:r>
        <w:t xml:space="preserve">Dynamics</w:t>
      </w:r>
      <w:r>
        <w:t xml:space="preserve"> </w:t>
      </w:r>
      <w:r>
        <w:t xml:space="preserve">in</w:t>
      </w:r>
      <w:r>
        <w:t xml:space="preserve"> </w:t>
      </w:r>
      <w:r>
        <w:t xml:space="preserve">Stock</w:t>
      </w:r>
      <w:r>
        <w:t xml:space="preserve"> </w:t>
      </w:r>
      <w:r>
        <w:t xml:space="preserve">Assessment</w:t>
      </w:r>
      <w:r>
        <w:t xml:space="preserve"> </w:t>
      </w:r>
      <w:r>
        <w:t xml:space="preserve">Models</w:t>
      </w:r>
      <w:r>
        <w:t xml:space="preserve">.”</w:t>
      </w:r>
      <w:r>
        <w:t xml:space="preserve"> </w:t>
      </w:r>
      <w:r>
        <w:rPr>
          <w:i/>
          <w:iCs/>
        </w:rPr>
        <w:t xml:space="preserve">Fish</w:t>
      </w:r>
      <w:r>
        <w:rPr>
          <w:i/>
          <w:iCs/>
        </w:rPr>
        <w:t xml:space="preserve"> </w:t>
      </w:r>
      <w:r>
        <w:rPr>
          <w:i/>
          <w:iCs/>
        </w:rPr>
        <w:t xml:space="preserve">and</w:t>
      </w:r>
      <w:r>
        <w:rPr>
          <w:i/>
          <w:iCs/>
        </w:rPr>
        <w:t xml:space="preserve"> </w:t>
      </w:r>
      <w:r>
        <w:rPr>
          <w:i/>
          <w:iCs/>
        </w:rPr>
        <w:t xml:space="preserve">Fisheries</w:t>
      </w:r>
      <w:r>
        <w:t xml:space="preserve">, February, 1–19.</w:t>
      </w:r>
      <w:r>
        <w:t xml:space="preserve"> </w:t>
      </w:r>
      <w:hyperlink r:id="rId184">
        <w:r>
          <w:rPr>
            <w:rStyle w:val="Hyperlink"/>
          </w:rPr>
          <w:t xml:space="preserve">https://doi.org/10.1111/faf.12891</w:t>
        </w:r>
      </w:hyperlink>
      <w:r>
        <w:t xml:space="preserve">.</w:t>
      </w:r>
    </w:p>
    <w:bookmarkEnd w:id="185"/>
    <w:bookmarkStart w:id="187" w:name="ref-Dunn1996"/>
    <w:p>
      <w:pPr>
        <w:pStyle w:val="Bibliography"/>
      </w:pPr>
      <w:r>
        <w:t xml:space="preserve">Dunn, K. P., and G. K. Smyth. 1996.</w:t>
      </w:r>
      <w:r>
        <w:t xml:space="preserve"> </w:t>
      </w:r>
      <w:r>
        <w:t xml:space="preserve">“Randomized Quantile Residuals.”</w:t>
      </w:r>
      <w:r>
        <w:t xml:space="preserve"> </w:t>
      </w:r>
      <w:r>
        <w:rPr>
          <w:i/>
          <w:iCs/>
        </w:rPr>
        <w:t xml:space="preserve">Journal of Computational and Graphical Statistics</w:t>
      </w:r>
      <w:r>
        <w:t xml:space="preserve"> </w:t>
      </w:r>
      <w:r>
        <w:t xml:space="preserve">5 (1): 1–10.</w:t>
      </w:r>
      <w:r>
        <w:t xml:space="preserve"> </w:t>
      </w:r>
      <w:hyperlink r:id="rId186">
        <w:r>
          <w:rPr>
            <w:rStyle w:val="Hyperlink"/>
          </w:rPr>
          <w:t xml:space="preserve">https://doi.org/10.1080/10618600.1996.10474708</w:t>
        </w:r>
      </w:hyperlink>
      <w:r>
        <w:t xml:space="preserve">.</w:t>
      </w:r>
    </w:p>
    <w:bookmarkEnd w:id="187"/>
    <w:bookmarkStart w:id="188" w:name="ref-hake2024"/>
    <w:p>
      <w:pPr>
        <w:pStyle w:val="Bibliography"/>
      </w:pPr>
      <w:r>
        <w:t xml:space="preserve">Grandin, C. J., K. F. Johnson, A. M. Edwards, and A. M. Berger. 2024.</w:t>
      </w:r>
      <w:r>
        <w:t xml:space="preserve"> </w:t>
      </w:r>
      <w:r>
        <w:t xml:space="preserve">“Status of the</w:t>
      </w:r>
      <w:r>
        <w:t xml:space="preserve"> </w:t>
      </w:r>
      <w:r>
        <w:t xml:space="preserve">Pacific</w:t>
      </w:r>
      <w:r>
        <w:t xml:space="preserve"> </w:t>
      </w:r>
      <w:r>
        <w:t xml:space="preserve">Hake</w:t>
      </w:r>
      <w:r>
        <w:t xml:space="preserve"> </w:t>
      </w:r>
      <w:r>
        <w:t xml:space="preserve">(Whiting) Stock in</w:t>
      </w:r>
      <w:r>
        <w:t xml:space="preserve"> </w:t>
      </w:r>
      <w:r>
        <w:t xml:space="preserve">U.S.</w:t>
      </w:r>
      <w:r>
        <w:t xml:space="preserve"> </w:t>
      </w:r>
      <w:r>
        <w:t xml:space="preserve">And</w:t>
      </w:r>
      <w:r>
        <w:t xml:space="preserve"> </w:t>
      </w:r>
      <w:r>
        <w:t xml:space="preserve">Canadian</w:t>
      </w:r>
      <w:r>
        <w:t xml:space="preserve"> </w:t>
      </w:r>
      <w:r>
        <w:t xml:space="preserve">Waters in 2024.”</w:t>
      </w:r>
      <w:r>
        <w:t xml:space="preserve"> </w:t>
      </w:r>
      <w:r>
        <w:t xml:space="preserve">Joint Technical Committee of the U.S.; Canada Pacific Hake/Whiting Agreement, National Marine Fisheries Service; Fisheries; Oceans Canada.</w:t>
      </w:r>
    </w:p>
    <w:bookmarkEnd w:id="188"/>
    <w:bookmarkStart w:id="190" w:name="ref-Hartig2021"/>
    <w:p>
      <w:pPr>
        <w:pStyle w:val="Bibliography"/>
      </w:pPr>
      <w:r>
        <w:t xml:space="preserve">Hartig, Florian. 2021.</w:t>
      </w:r>
      <w:r>
        <w:t xml:space="preserve"> </w:t>
      </w:r>
      <w:r>
        <w:rPr>
          <w:i/>
          <w:iCs/>
        </w:rPr>
        <w:t xml:space="preserve">DHARMa: Residual Diagnostics for Hierarchical (Multi-Level / Mixed) Regression Models</w:t>
      </w:r>
      <w:r>
        <w:t xml:space="preserve">.</w:t>
      </w:r>
      <w:r>
        <w:t xml:space="preserve"> </w:t>
      </w:r>
      <w:hyperlink r:id="rId189">
        <w:r>
          <w:rPr>
            <w:rStyle w:val="Hyperlink"/>
          </w:rPr>
          <w:t xml:space="preserve">http://florianhartig.github.io/DHARMa/</w:t>
        </w:r>
      </w:hyperlink>
      <w:r>
        <w:t xml:space="preserve">.</w:t>
      </w:r>
    </w:p>
    <w:bookmarkEnd w:id="190"/>
    <w:bookmarkStart w:id="192" w:name="ref-helser2019"/>
    <w:p>
      <w:pPr>
        <w:pStyle w:val="Bibliography"/>
      </w:pPr>
      <w:r>
        <w:t xml:space="preserve">Helser, Thomas E., Irina Benson, Jason Erickson, Jordan Healy, Craig Kastelle, and Jonathan A. Short. 2019.</w:t>
      </w:r>
      <w:r>
        <w:t xml:space="preserve"> </w:t>
      </w:r>
      <w:r>
        <w:t xml:space="preserve">“A Transformative Approach to Ageing Fish Otoliths Using Fourier Transform Near Infrared Spectroscopy: A Case Study of Eastern Bering Sea Walleye Pollock (</w:t>
      </w:r>
      <w:r>
        <w:rPr>
          <w:i/>
          <w:iCs/>
        </w:rPr>
        <w:t xml:space="preserve">Gadus Chalcogrammus</w:t>
      </w:r>
      <w:r>
        <w:t xml:space="preserve">).”</w:t>
      </w:r>
      <w:r>
        <w:t xml:space="preserve"> </w:t>
      </w:r>
      <w:r>
        <w:rPr>
          <w:i/>
          <w:iCs/>
        </w:rPr>
        <w:t xml:space="preserve">Canadian Journal of Fisheries and Aquatic Sciences</w:t>
      </w:r>
      <w:r>
        <w:t xml:space="preserve"> </w:t>
      </w:r>
      <w:r>
        <w:t xml:space="preserve">76 (5): 780–89.</w:t>
      </w:r>
      <w:r>
        <w:t xml:space="preserve"> </w:t>
      </w:r>
      <w:hyperlink r:id="rId191">
        <w:r>
          <w:rPr>
            <w:rStyle w:val="Hyperlink"/>
          </w:rPr>
          <w:t xml:space="preserve">https://doi.org/10.1139/cjfas-2018-0112</w:t>
        </w:r>
      </w:hyperlink>
      <w:r>
        <w:t xml:space="preserve">.</w:t>
      </w:r>
    </w:p>
    <w:bookmarkEnd w:id="192"/>
    <w:bookmarkStart w:id="194" w:name="ref-holsman2024"/>
    <w:p>
      <w:pPr>
        <w:pStyle w:val="Bibliography"/>
      </w:pPr>
      <w:r>
        <w:t xml:space="preserve">Holsman, K. K., J. Ianelli, K. Shotwell, S. Barbeaux, K. Aydin, G. Adams, K. Kearney, A. Sulc, and S. Wassermann. 2024.</w:t>
      </w:r>
      <w:r>
        <w:t xml:space="preserve"> </w:t>
      </w:r>
      <w:r>
        <w:t xml:space="preserve">“Climate-Enhanced Multispecies Stock Assessment for Walleye Pollock,</w:t>
      </w:r>
      <w:r>
        <w:t xml:space="preserve"> </w:t>
      </w:r>
      <w:r>
        <w:t xml:space="preserve">Pacific</w:t>
      </w:r>
      <w:r>
        <w:t xml:space="preserve"> </w:t>
      </w:r>
      <w:r>
        <w:t xml:space="preserve">Cod, and Arrowtooth Flounder in the Eastern</w:t>
      </w:r>
      <w:r>
        <w:t xml:space="preserve"> </w:t>
      </w:r>
      <w:r>
        <w:t xml:space="preserve">Bering</w:t>
      </w:r>
      <w:r>
        <w:t xml:space="preserve"> </w:t>
      </w:r>
      <w:r>
        <w:t xml:space="preserve">Sea</w:t>
      </w:r>
      <w:r>
        <w:t xml:space="preserve">.”</w:t>
      </w:r>
      <w:r>
        <w:t xml:space="preserve"> </w:t>
      </w:r>
      <w:r>
        <w:t xml:space="preserve">Technical Report. Anchorage, AK: North Pacific Fishery Management Council.</w:t>
      </w:r>
      <w:r>
        <w:t xml:space="preserve"> </w:t>
      </w:r>
      <w:hyperlink r:id="rId193">
        <w:r>
          <w:rPr>
            <w:rStyle w:val="Hyperlink"/>
          </w:rPr>
          <w:t xml:space="preserve">https://www.npfmc.org/wp-content/PDFdocuments/SAFE/2024/EBSmultispp.pdf</w:t>
        </w:r>
      </w:hyperlink>
      <w:r>
        <w:t xml:space="preserve">.</w:t>
      </w:r>
    </w:p>
    <w:bookmarkEnd w:id="194"/>
    <w:bookmarkStart w:id="196" w:name="ref-ianelli2025"/>
    <w:p>
      <w:pPr>
        <w:pStyle w:val="Bibliography"/>
      </w:pPr>
      <w:r>
        <w:t xml:space="preserve">Ianelli, Jim. 2025.</w:t>
      </w:r>
      <w:r>
        <w:t xml:space="preserve"> </w:t>
      </w:r>
      <w:r>
        <w:rPr>
          <w:i/>
          <w:iCs/>
        </w:rPr>
        <w:t xml:space="preserve">Ebswp: Facilitates Model Running for EBS Pollock</w:t>
      </w:r>
      <w:r>
        <w:t xml:space="preserve">.</w:t>
      </w:r>
      <w:r>
        <w:t xml:space="preserve"> </w:t>
      </w:r>
      <w:hyperlink r:id="rId195">
        <w:r>
          <w:rPr>
            <w:rStyle w:val="Hyperlink"/>
          </w:rPr>
          <w:t xml:space="preserve">http://afsc-assessments.github.io/EBSpollock/</w:t>
        </w:r>
      </w:hyperlink>
      <w:r>
        <w:t xml:space="preserve">.</w:t>
      </w:r>
    </w:p>
    <w:bookmarkEnd w:id="196"/>
    <w:bookmarkStart w:id="197" w:name="ref-jurado2005"/>
    <w:p>
      <w:pPr>
        <w:pStyle w:val="Bibliography"/>
      </w:pPr>
      <w:r>
        <w:t xml:space="preserve">Jurado-Molina, J., P. A. Livingston, and J. N. Ianelli. 2005.</w:t>
      </w:r>
      <w:r>
        <w:t xml:space="preserve"> </w:t>
      </w:r>
      <w:r>
        <w:t xml:space="preserve">“Incorporating Predation Interactions to a Statistical Catch-at-Age Model for a Predator-Prey System in the Eastern Bering Sea.”</w:t>
      </w:r>
      <w:r>
        <w:t xml:space="preserve"> </w:t>
      </w:r>
      <w:r>
        <w:rPr>
          <w:i/>
          <w:iCs/>
        </w:rPr>
        <w:t xml:space="preserve">Canadian Journal of Fisheries and Aquatic Sciences</w:t>
      </w:r>
      <w:r>
        <w:t xml:space="preserve"> </w:t>
      </w:r>
      <w:r>
        <w:t xml:space="preserve">62 (8): 1865–73.</w:t>
      </w:r>
    </w:p>
    <w:bookmarkEnd w:id="197"/>
    <w:bookmarkStart w:id="199" w:name="ref-methot2013"/>
    <w:p>
      <w:pPr>
        <w:pStyle w:val="Bibliography"/>
      </w:pPr>
      <w:r>
        <w:t xml:space="preserve">Methot, Richard D., and Chantell R. Wetzel. 2013.</w:t>
      </w:r>
      <w:r>
        <w:t xml:space="preserve"> </w:t>
      </w:r>
      <w:r>
        <w:t xml:space="preserve">“Stock Synthesis: A Biological and Statistical Framework for Fish Stock Assessment and Fishery Management.”</w:t>
      </w:r>
      <w:r>
        <w:t xml:space="preserve"> </w:t>
      </w:r>
      <w:r>
        <w:rPr>
          <w:i/>
          <w:iCs/>
        </w:rPr>
        <w:t xml:space="preserve">Fisheries Research</w:t>
      </w:r>
      <w:r>
        <w:t xml:space="preserve"> </w:t>
      </w:r>
      <w:r>
        <w:t xml:space="preserve">142 (May): 86–99.</w:t>
      </w:r>
      <w:r>
        <w:t xml:space="preserve"> </w:t>
      </w:r>
      <w:hyperlink r:id="rId198">
        <w:r>
          <w:rPr>
            <w:rStyle w:val="Hyperlink"/>
          </w:rPr>
          <w:t xml:space="preserve">https://doi.org/10.1016/j.fishres.2012.10.012</w:t>
        </w:r>
      </w:hyperlink>
      <w:r>
        <w:t xml:space="preserve">.</w:t>
      </w:r>
    </w:p>
    <w:bookmarkEnd w:id="199"/>
    <w:bookmarkStart w:id="201" w:name="ref-nielsen2014"/>
    <w:p>
      <w:pPr>
        <w:pStyle w:val="Bibliography"/>
      </w:pPr>
      <w:r>
        <w:t xml:space="preserve">Nielsen, Anders, and Casper W. Berg. 2014.</w:t>
      </w:r>
      <w:r>
        <w:t xml:space="preserve"> </w:t>
      </w:r>
      <w:r>
        <w:t xml:space="preserve">“Estimation of Time-Varying Selectivity in Stock Assessments Using State-Space Models.”</w:t>
      </w:r>
      <w:r>
        <w:t xml:space="preserve"> </w:t>
      </w:r>
      <w:r>
        <w:rPr>
          <w:i/>
          <w:iCs/>
        </w:rPr>
        <w:t xml:space="preserve">Fisheries Research</w:t>
      </w:r>
      <w:r>
        <w:t xml:space="preserve"> </w:t>
      </w:r>
      <w:r>
        <w:t xml:space="preserve">158: 96–101.</w:t>
      </w:r>
      <w:r>
        <w:t xml:space="preserve"> </w:t>
      </w:r>
      <w:hyperlink r:id="rId200">
        <w:r>
          <w:rPr>
            <w:rStyle w:val="Hyperlink"/>
          </w:rPr>
          <w:t xml:space="preserve">https://doi.org/10.1016/j.fishres.2014.01.014</w:t>
        </w:r>
      </w:hyperlink>
      <w:r>
        <w:t xml:space="preserve">.</w:t>
      </w:r>
    </w:p>
    <w:bookmarkEnd w:id="201"/>
    <w:bookmarkStart w:id="203" w:name="ref-nielsen2021"/>
    <w:p>
      <w:pPr>
        <w:pStyle w:val="Bibliography"/>
      </w:pPr>
      <w:r>
        <w:t xml:space="preserve">Nielsen, Anders, Niels T Hintzen, Henrik Mosegaard, Vanessa Trijoulet, and Casper W Berg. 2021.</w:t>
      </w:r>
      <w:r>
        <w:t xml:space="preserve"> </w:t>
      </w:r>
      <w:r>
        <w:t xml:space="preserve">“Multi-Fleet State-Space Assessment Model Strengthens Confidence in Single-Fleet</w:t>
      </w:r>
      <w:r>
        <w:t xml:space="preserve"> </w:t>
      </w:r>
      <w:r>
        <w:t xml:space="preserve">SAM</w:t>
      </w:r>
      <w:r>
        <w:t xml:space="preserve"> </w:t>
      </w:r>
      <w:r>
        <w:t xml:space="preserve">and Provides Fleet-Specific Forecast Options.”</w:t>
      </w:r>
      <w:r>
        <w:t xml:space="preserve"> </w:t>
      </w:r>
      <w:r>
        <w:rPr>
          <w:i/>
          <w:iCs/>
        </w:rPr>
        <w:t xml:space="preserve">ICES Journal of Marine Science</w:t>
      </w:r>
      <w:r>
        <w:t xml:space="preserve"> </w:t>
      </w:r>
      <w:r>
        <w:t xml:space="preserve">78 (6): 2043–52.</w:t>
      </w:r>
      <w:r>
        <w:t xml:space="preserve"> </w:t>
      </w:r>
      <w:hyperlink r:id="rId202">
        <w:r>
          <w:rPr>
            <w:rStyle w:val="Hyperlink"/>
          </w:rPr>
          <w:t xml:space="preserve">https://doi.org/10.1093/icesjms/fsab078</w:t>
        </w:r>
      </w:hyperlink>
      <w:r>
        <w:t xml:space="preserve">.</w:t>
      </w:r>
    </w:p>
    <w:bookmarkEnd w:id="203"/>
    <w:bookmarkStart w:id="205" w:name="ref-OLeary2020"/>
    <w:p>
      <w:pPr>
        <w:pStyle w:val="Bibliography"/>
      </w:pPr>
      <w:r>
        <w:t xml:space="preserve">O’Leary, C. A., J. T. Thorson, J. N. Ianelli, and S. Kotwicki. 2020.</w:t>
      </w:r>
      <w:r>
        <w:t xml:space="preserve"> </w:t>
      </w:r>
      <w:r>
        <w:t xml:space="preserve">“Adapting to Climate‐driven Distribution Shifts Using Model‐based Indices and Age Composition from Multiple Surveys in the Walleye Pollock (Gadus Chalcogrammus) Stock Assessment.”</w:t>
      </w:r>
      <w:r>
        <w:t xml:space="preserve"> </w:t>
      </w:r>
      <w:r>
        <w:rPr>
          <w:i/>
          <w:iCs/>
        </w:rPr>
        <w:t xml:space="preserve">Fisheries Oceanography</w:t>
      </w:r>
      <w:r>
        <w:t xml:space="preserve"> </w:t>
      </w:r>
      <w:r>
        <w:t xml:space="preserve">29 (6): 541–57.</w:t>
      </w:r>
      <w:r>
        <w:t xml:space="preserve"> </w:t>
      </w:r>
      <w:hyperlink r:id="rId204">
        <w:r>
          <w:rPr>
            <w:rStyle w:val="Hyperlink"/>
          </w:rPr>
          <w:t xml:space="preserve">https://doi.org/10.1111/fog.12494</w:t>
        </w:r>
      </w:hyperlink>
      <w:r>
        <w:t xml:space="preserve">.</w:t>
      </w:r>
    </w:p>
    <w:bookmarkEnd w:id="205"/>
    <w:bookmarkStart w:id="206" w:name="ref-punt2008"/>
    <w:p>
      <w:pPr>
        <w:pStyle w:val="Bibliography"/>
      </w:pPr>
      <w:r>
        <w:t xml:space="preserve">Punt, A. E., D. C. Smith, K. KrusicGolub, and S. Robertson. 2008.</w:t>
      </w:r>
      <w:r>
        <w:t xml:space="preserve"> </w:t>
      </w:r>
      <w:r>
        <w:t xml:space="preserve">“Quantifying Age-Reading Error for Use in Fisheries Stock Assessments, with Application to Species in Australia’s Southern and Eastern Scalefish and Shark Fishery.”</w:t>
      </w:r>
      <w:r>
        <w:t xml:space="preserve"> </w:t>
      </w:r>
      <w:r>
        <w:rPr>
          <w:i/>
          <w:iCs/>
        </w:rPr>
        <w:t xml:space="preserve">Can. J. Fish. Aquat. Sci.</w:t>
      </w:r>
      <w:r>
        <w:t xml:space="preserve"> </w:t>
      </w:r>
      <w:r>
        <w:t xml:space="preserve">65: 1991–2005.</w:t>
      </w:r>
    </w:p>
    <w:bookmarkEnd w:id="206"/>
    <w:bookmarkStart w:id="208" w:name="ref-Rohan2023"/>
    <w:p>
      <w:pPr>
        <w:pStyle w:val="Bibliography"/>
      </w:pPr>
      <w:r>
        <w:t xml:space="preserve">Rohan, S. K., L. A. K. Barnett, and N. Charriere. 2022.</w:t>
      </w:r>
      <w:r>
        <w:t xml:space="preserve"> </w:t>
      </w:r>
      <w:r>
        <w:t xml:space="preserve">“Evaluating Approaches to Estimating Mean Temperatures and Cold Pool Area from AFSC Bottom Trawl Surveys of the Eastern Bering Sea.”</w:t>
      </w:r>
      <w:r>
        <w:t xml:space="preserve"> </w:t>
      </w:r>
      <w:r>
        <w:t xml:space="preserve">Tech. Mem. NMFS-AFSC-456. U.S. Dep. Commer., NOAA.</w:t>
      </w:r>
      <w:r>
        <w:t xml:space="preserve"> </w:t>
      </w:r>
      <w:hyperlink r:id="rId207">
        <w:r>
          <w:rPr>
            <w:rStyle w:val="Hyperlink"/>
          </w:rPr>
          <w:t xml:space="preserve">https://doi.org/10.25923/1wwh-q418</w:t>
        </w:r>
      </w:hyperlink>
      <w:r>
        <w:t xml:space="preserve">.</w:t>
      </w:r>
    </w:p>
    <w:bookmarkEnd w:id="208"/>
    <w:bookmarkStart w:id="210" w:name="ref-stock2021"/>
    <w:p>
      <w:pPr>
        <w:pStyle w:val="Bibliography"/>
      </w:pPr>
      <w:r>
        <w:t xml:space="preserve">Stock, Brian C., and Timothy J. Miller. 2021.</w:t>
      </w:r>
      <w:r>
        <w:t xml:space="preserve"> </w:t>
      </w:r>
      <w:r>
        <w:t xml:space="preserve">“The</w:t>
      </w:r>
      <w:r>
        <w:t xml:space="preserve"> </w:t>
      </w:r>
      <w:r>
        <w:t xml:space="preserve">Woods Hole Assessment Model</w:t>
      </w:r>
      <w:r>
        <w:t xml:space="preserve"> </w:t>
      </w:r>
      <w:r>
        <w:t xml:space="preserve">(</w:t>
      </w:r>
      <w:r>
        <w:t xml:space="preserve">WHAM</w:t>
      </w:r>
      <w:r>
        <w:t xml:space="preserve">):</w:t>
      </w:r>
      <w:r>
        <w:t xml:space="preserve"> </w:t>
      </w:r>
      <w:r>
        <w:t xml:space="preserve">A</w:t>
      </w:r>
      <w:r>
        <w:t xml:space="preserve"> </w:t>
      </w:r>
      <w:r>
        <w:t xml:space="preserve">General State-Space Assessment Framework That Incorporates Time- and Age-Varying Processes via Random Effects and Links to Environmental Covariates.”</w:t>
      </w:r>
      <w:r>
        <w:t xml:space="preserve"> </w:t>
      </w:r>
      <w:r>
        <w:rPr>
          <w:i/>
          <w:iCs/>
        </w:rPr>
        <w:t xml:space="preserve">Fisheries Research</w:t>
      </w:r>
      <w:r>
        <w:t xml:space="preserve"> </w:t>
      </w:r>
      <w:r>
        <w:t xml:space="preserve">240 (August): 105967.</w:t>
      </w:r>
      <w:r>
        <w:t xml:space="preserve"> </w:t>
      </w:r>
      <w:hyperlink r:id="rId209">
        <w:r>
          <w:rPr>
            <w:rStyle w:val="Hyperlink"/>
          </w:rPr>
          <w:t xml:space="preserve">https://doi.org/10.1016/j.fishres.2021.105967</w:t>
        </w:r>
      </w:hyperlink>
      <w:r>
        <w:t xml:space="preserve">.</w:t>
      </w:r>
    </w:p>
    <w:bookmarkEnd w:id="210"/>
    <w:bookmarkStart w:id="212" w:name="ref-Thorson2018"/>
    <w:p>
      <w:pPr>
        <w:pStyle w:val="Bibliography"/>
      </w:pPr>
      <w:r>
        <w:t xml:space="preserve">Thorson, J. T. 2018.</w:t>
      </w:r>
      <w:r>
        <w:t xml:space="preserve"> </w:t>
      </w:r>
      <w:r>
        <w:t xml:space="preserve">“Three Problems with the Conventional Delta-Model for Biomass Sampling Data, and a Computationally Efficient Alternative.”</w:t>
      </w:r>
      <w:r>
        <w:t xml:space="preserve"> </w:t>
      </w:r>
      <w:r>
        <w:rPr>
          <w:i/>
          <w:iCs/>
        </w:rPr>
        <w:t xml:space="preserve">Canadian Journal of Fisheries and Aquatic Sciences</w:t>
      </w:r>
      <w:r>
        <w:t xml:space="preserve"> </w:t>
      </w:r>
      <w:r>
        <w:t xml:space="preserve">75 (9): 1369–82.</w:t>
      </w:r>
      <w:r>
        <w:t xml:space="preserve"> </w:t>
      </w:r>
      <w:hyperlink r:id="rId211">
        <w:r>
          <w:rPr>
            <w:rStyle w:val="Hyperlink"/>
          </w:rPr>
          <w:t xml:space="preserve">https://doi.org/10.1139/cjfas-2017-0266</w:t>
        </w:r>
      </w:hyperlink>
      <w:r>
        <w:t xml:space="preserve">.</w:t>
      </w:r>
    </w:p>
    <w:bookmarkEnd w:id="212"/>
    <w:bookmarkStart w:id="214" w:name="ref-Thorson2019"/>
    <w:p>
      <w:pPr>
        <w:pStyle w:val="Bibliography"/>
      </w:pPr>
      <w:r>
        <w:t xml:space="preserve">———. 2019.</w:t>
      </w:r>
      <w:r>
        <w:t xml:space="preserve"> </w:t>
      </w:r>
      <w:r>
        <w:t xml:space="preserve">“Measuring the Impact of Oceanographic Indices on Species Distribution Shifts: The Spatially Varying Effect of Cold‐pool Extent in the Eastern Bering Sea.”</w:t>
      </w:r>
      <w:r>
        <w:t xml:space="preserve"> </w:t>
      </w:r>
      <w:r>
        <w:rPr>
          <w:i/>
          <w:iCs/>
        </w:rPr>
        <w:t xml:space="preserve">Limnology and Oceanography</w:t>
      </w:r>
      <w:r>
        <w:t xml:space="preserve"> </w:t>
      </w:r>
      <w:r>
        <w:t xml:space="preserve">64 (6): 2632–45.</w:t>
      </w:r>
      <w:r>
        <w:t xml:space="preserve"> </w:t>
      </w:r>
      <w:hyperlink r:id="rId213">
        <w:r>
          <w:rPr>
            <w:rStyle w:val="Hyperlink"/>
          </w:rPr>
          <w:t xml:space="preserve">https://doi.org/10.1002/lno.11238</w:t>
        </w:r>
      </w:hyperlink>
      <w:r>
        <w:t xml:space="preserve">.</w:t>
      </w:r>
    </w:p>
    <w:bookmarkEnd w:id="214"/>
    <w:bookmarkStart w:id="215" w:name="ref-Thorson2024"/>
    <w:p>
      <w:pPr>
        <w:pStyle w:val="Bibliography"/>
      </w:pPr>
      <w:r>
        <w:t xml:space="preserve">Thorson, J. T., S. C. Anderson, P. Goddard, and C. N. Rooper. 2024.</w:t>
      </w:r>
      <w:r>
        <w:t xml:space="preserve"> </w:t>
      </w:r>
      <w:r>
        <w:t xml:space="preserve">“tinyVAST: R Package with an Expressive Interface to Specify Lagged and Simultaneous Effects in Multivariate Spatio-Temporal Models.”</w:t>
      </w:r>
      <w:r>
        <w:t xml:space="preserve"> </w:t>
      </w:r>
      <w:r>
        <w:rPr>
          <w:i/>
          <w:iCs/>
        </w:rPr>
        <w:t xml:space="preserve">arXiv Preprint</w:t>
      </w:r>
      <w:r>
        <w:t xml:space="preserve"> </w:t>
      </w:r>
      <w:r>
        <w:t xml:space="preserve">arXiv:2401.10193.</w:t>
      </w:r>
    </w:p>
    <w:bookmarkEnd w:id="215"/>
    <w:bookmarkStart w:id="217" w:name="ref-Thorson2016"/>
    <w:p>
      <w:pPr>
        <w:pStyle w:val="Bibliography"/>
      </w:pPr>
      <w:r>
        <w:t xml:space="preserve">Thorson, J. T., and K. Kristensen. 2016.</w:t>
      </w:r>
      <w:r>
        <w:t xml:space="preserve"> </w:t>
      </w:r>
      <w:r>
        <w:t xml:space="preserve">“Implementing a Generic Method for Bias Correction in Statistical Models Using Random Effects, with Spatial and Population Dynamics Examples.”</w:t>
      </w:r>
      <w:r>
        <w:t xml:space="preserve"> </w:t>
      </w:r>
      <w:r>
        <w:rPr>
          <w:i/>
          <w:iCs/>
        </w:rPr>
        <w:t xml:space="preserve">Fisheries Research</w:t>
      </w:r>
      <w:r>
        <w:t xml:space="preserve"> </w:t>
      </w:r>
      <w:r>
        <w:t xml:space="preserve">175: 66–74.</w:t>
      </w:r>
      <w:r>
        <w:t xml:space="preserve"> </w:t>
      </w:r>
      <w:hyperlink r:id="rId216">
        <w:r>
          <w:rPr>
            <w:rStyle w:val="Hyperlink"/>
          </w:rPr>
          <w:t xml:space="preserve">https://doi.org/10.1016/j.fishres.2015.11.016</w:t>
        </w:r>
      </w:hyperlink>
      <w:r>
        <w:t xml:space="preserve">.</w:t>
      </w:r>
    </w:p>
    <w:bookmarkEnd w:id="217"/>
    <w:bookmarkEnd w:id="218"/>
    <w:bookmarkEnd w:id="2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45" Target="media/rId145.png" /><Relationship Type="http://schemas.openxmlformats.org/officeDocument/2006/relationships/image" Id="rId149" Target="media/rId149.png" /><Relationship Type="http://schemas.openxmlformats.org/officeDocument/2006/relationships/image" Id="rId153" Target="media/rId153.png" /><Relationship Type="http://schemas.openxmlformats.org/officeDocument/2006/relationships/image" Id="rId113" Target="media/rId113.png" /><Relationship Type="http://schemas.openxmlformats.org/officeDocument/2006/relationships/image" Id="rId117" Target="media/rId117.png" /><Relationship Type="http://schemas.openxmlformats.org/officeDocument/2006/relationships/image" Id="rId137" Target="media/rId137.png" /><Relationship Type="http://schemas.openxmlformats.org/officeDocument/2006/relationships/image" Id="rId141" Target="media/rId141.png" /><Relationship Type="http://schemas.openxmlformats.org/officeDocument/2006/relationships/image" Id="rId123" Target="media/rId123.png" /><Relationship Type="http://schemas.openxmlformats.org/officeDocument/2006/relationships/image" Id="rId127" Target="media/rId127.png" /><Relationship Type="http://schemas.openxmlformats.org/officeDocument/2006/relationships/image" Id="rId131" Target="media/rId131.png" /><Relationship Type="http://schemas.openxmlformats.org/officeDocument/2006/relationships/image" Id="rId158" Target="media/rId158.png" /><Relationship Type="http://schemas.openxmlformats.org/officeDocument/2006/relationships/image" Id="rId162" Target="media/rId162.png" /><Relationship Type="http://schemas.openxmlformats.org/officeDocument/2006/relationships/image" Id="rId166" Target="media/rId166.png" /><Relationship Type="http://schemas.openxmlformats.org/officeDocument/2006/relationships/image" Id="rId97" Target="media/rId97.png" /><Relationship Type="http://schemas.openxmlformats.org/officeDocument/2006/relationships/image" Id="rId109" Target="media/rId109.png" /><Relationship Type="http://schemas.openxmlformats.org/officeDocument/2006/relationships/image" Id="rId101" Target="media/rId101.png" /><Relationship Type="http://schemas.openxmlformats.org/officeDocument/2006/relationships/image" Id="rId105" Target="media/rId105.png" /><Relationship Type="http://schemas.openxmlformats.org/officeDocument/2006/relationships/image" Id="rId47" Target="media/rId47.png" /><Relationship Type="http://schemas.openxmlformats.org/officeDocument/2006/relationships/image" Id="rId173" Target="media/rId173.png" /><Relationship Type="http://schemas.openxmlformats.org/officeDocument/2006/relationships/image" Id="rId67" Target="media/rId67.png" /><Relationship Type="http://schemas.openxmlformats.org/officeDocument/2006/relationships/image" Id="rId63" Target="media/rId63.png" /><Relationship Type="http://schemas.openxmlformats.org/officeDocument/2006/relationships/image" Id="rId27" Target="media/rId27.png" /><Relationship Type="http://schemas.openxmlformats.org/officeDocument/2006/relationships/image" Id="rId23" Target="media/rId23.png" /><Relationship Type="http://schemas.openxmlformats.org/officeDocument/2006/relationships/image" Id="rId43" Target="media/rId43.png" /><Relationship Type="http://schemas.openxmlformats.org/officeDocument/2006/relationships/image" Id="rId59" Target="media/rId59.png" /><Relationship Type="http://schemas.openxmlformats.org/officeDocument/2006/relationships/image" Id="rId86" Target="media/rId86.png" /><Relationship Type="http://schemas.openxmlformats.org/officeDocument/2006/relationships/image" Id="rId90" Target="media/rId90.png" /><Relationship Type="http://schemas.openxmlformats.org/officeDocument/2006/relationships/image" Id="rId82" Target="media/rId82.png" /><Relationship Type="http://schemas.openxmlformats.org/officeDocument/2006/relationships/image" Id="rId78" Target="media/rId78.png" /><Relationship Type="http://schemas.openxmlformats.org/officeDocument/2006/relationships/image" Id="rId74" Target="media/rId74.png" /><Relationship Type="http://schemas.openxmlformats.org/officeDocument/2006/relationships/image" Id="rId55" Target="media/rId55.png" /><Relationship Type="http://schemas.openxmlformats.org/officeDocument/2006/relationships/image" Id="rId39" Target="media/rId39.png" /><Relationship Type="http://schemas.openxmlformats.org/officeDocument/2006/relationships/image" Id="rId35" Target="media/rId35.png" /><Relationship Type="http://schemas.openxmlformats.org/officeDocument/2006/relationships/image" Id="rId31" Target="media/rId31.png" /><Relationship Type="http://schemas.openxmlformats.org/officeDocument/2006/relationships/hyperlink" Id="rId195" Target="http://afsc-assessments.github.io/EBSpollock/" TargetMode="External" /><Relationship Type="http://schemas.openxmlformats.org/officeDocument/2006/relationships/hyperlink" Id="rId189" Target="http://florianhartig.github.io/DHARMa/" TargetMode="External" /><Relationship Type="http://schemas.openxmlformats.org/officeDocument/2006/relationships/hyperlink" Id="rId21" Target="https://afsc-assessments.github.io/ebswp/index.html" TargetMode="External" /><Relationship Type="http://schemas.openxmlformats.org/officeDocument/2006/relationships/hyperlink" Id="rId213" Target="https://doi.org/10.1002/lno.11238" TargetMode="External" /><Relationship Type="http://schemas.openxmlformats.org/officeDocument/2006/relationships/hyperlink" Id="rId198" Target="https://doi.org/10.1016/j.fishres.2012.10.012" TargetMode="External" /><Relationship Type="http://schemas.openxmlformats.org/officeDocument/2006/relationships/hyperlink" Id="rId200" Target="https://doi.org/10.1016/j.fishres.2014.01.014" TargetMode="External" /><Relationship Type="http://schemas.openxmlformats.org/officeDocument/2006/relationships/hyperlink" Id="rId216" Target="https://doi.org/10.1016/j.fishres.2015.11.016" TargetMode="External" /><Relationship Type="http://schemas.openxmlformats.org/officeDocument/2006/relationships/hyperlink" Id="rId209" Target="https://doi.org/10.1016/j.fishres.2021.105967" TargetMode="External" /><Relationship Type="http://schemas.openxmlformats.org/officeDocument/2006/relationships/hyperlink" Id="rId179" Target="https://doi.org/10.1016/j.fishres.2022.106303" TargetMode="External" /><Relationship Type="http://schemas.openxmlformats.org/officeDocument/2006/relationships/hyperlink" Id="rId186" Target="https://doi.org/10.1080/10618600.1996.10474708" TargetMode="External" /><Relationship Type="http://schemas.openxmlformats.org/officeDocument/2006/relationships/hyperlink" Id="rId202" Target="https://doi.org/10.1093/icesjms/fsab078" TargetMode="External" /><Relationship Type="http://schemas.openxmlformats.org/officeDocument/2006/relationships/hyperlink" Id="rId181" Target="https://doi.org/10.1101/2022.03.24.485545" TargetMode="External" /><Relationship Type="http://schemas.openxmlformats.org/officeDocument/2006/relationships/hyperlink" Id="rId184" Target="https://doi.org/10.1111/faf.12891" TargetMode="External" /><Relationship Type="http://schemas.openxmlformats.org/officeDocument/2006/relationships/hyperlink" Id="rId204" Target="https://doi.org/10.1111/fog.12494" TargetMode="External" /><Relationship Type="http://schemas.openxmlformats.org/officeDocument/2006/relationships/hyperlink" Id="rId211" Target="https://doi.org/10.1139/cjfas-2017-0266" TargetMode="External" /><Relationship Type="http://schemas.openxmlformats.org/officeDocument/2006/relationships/hyperlink" Id="rId191" Target="https://doi.org/10.1139/cjfas-2018-0112" TargetMode="External" /><Relationship Type="http://schemas.openxmlformats.org/officeDocument/2006/relationships/hyperlink" Id="rId207" Target="https://doi.org/10.25923/1wwh-q418" TargetMode="External" /><Relationship Type="http://schemas.openxmlformats.org/officeDocument/2006/relationships/hyperlink" Id="rId122" Target="https://github.com/noaa-afsc/EBS_pollock/tree/main/runs/SAM/poll24" TargetMode="External" /><Relationship Type="http://schemas.openxmlformats.org/officeDocument/2006/relationships/hyperlink" Id="rId136" Target="https://github.com/noaa-afsc/EBS_pollock/tree/main/runs/wham" TargetMode="External" /><Relationship Type="http://schemas.openxmlformats.org/officeDocument/2006/relationships/hyperlink" Id="rId193" Target="https://www.npfmc.org/wp-content/PDFdocuments/SAFE/2024/EBSmultispp.pdf" TargetMode="External" /></Relationships>
</file>

<file path=word/_rels/footnotes.xml.rels><?xml version="1.0" encoding="UTF-8"?><Relationships xmlns="http://schemas.openxmlformats.org/package/2006/relationships"><Relationship Type="http://schemas.openxmlformats.org/officeDocument/2006/relationships/hyperlink" Id="rId195" Target="http://afsc-assessments.github.io/EBSpollock/" TargetMode="External" /><Relationship Type="http://schemas.openxmlformats.org/officeDocument/2006/relationships/hyperlink" Id="rId189" Target="http://florianhartig.github.io/DHARMa/" TargetMode="External" /><Relationship Type="http://schemas.openxmlformats.org/officeDocument/2006/relationships/hyperlink" Id="rId21" Target="https://afsc-assessments.github.io/ebswp/index.html" TargetMode="External" /><Relationship Type="http://schemas.openxmlformats.org/officeDocument/2006/relationships/hyperlink" Id="rId213" Target="https://doi.org/10.1002/lno.11238" TargetMode="External" /><Relationship Type="http://schemas.openxmlformats.org/officeDocument/2006/relationships/hyperlink" Id="rId198" Target="https://doi.org/10.1016/j.fishres.2012.10.012" TargetMode="External" /><Relationship Type="http://schemas.openxmlformats.org/officeDocument/2006/relationships/hyperlink" Id="rId200" Target="https://doi.org/10.1016/j.fishres.2014.01.014" TargetMode="External" /><Relationship Type="http://schemas.openxmlformats.org/officeDocument/2006/relationships/hyperlink" Id="rId216" Target="https://doi.org/10.1016/j.fishres.2015.11.016" TargetMode="External" /><Relationship Type="http://schemas.openxmlformats.org/officeDocument/2006/relationships/hyperlink" Id="rId209" Target="https://doi.org/10.1016/j.fishres.2021.105967" TargetMode="External" /><Relationship Type="http://schemas.openxmlformats.org/officeDocument/2006/relationships/hyperlink" Id="rId179" Target="https://doi.org/10.1016/j.fishres.2022.106303" TargetMode="External" /><Relationship Type="http://schemas.openxmlformats.org/officeDocument/2006/relationships/hyperlink" Id="rId186" Target="https://doi.org/10.1080/10618600.1996.10474708" TargetMode="External" /><Relationship Type="http://schemas.openxmlformats.org/officeDocument/2006/relationships/hyperlink" Id="rId202" Target="https://doi.org/10.1093/icesjms/fsab078" TargetMode="External" /><Relationship Type="http://schemas.openxmlformats.org/officeDocument/2006/relationships/hyperlink" Id="rId181" Target="https://doi.org/10.1101/2022.03.24.485545" TargetMode="External" /><Relationship Type="http://schemas.openxmlformats.org/officeDocument/2006/relationships/hyperlink" Id="rId184" Target="https://doi.org/10.1111/faf.12891" TargetMode="External" /><Relationship Type="http://schemas.openxmlformats.org/officeDocument/2006/relationships/hyperlink" Id="rId204" Target="https://doi.org/10.1111/fog.12494" TargetMode="External" /><Relationship Type="http://schemas.openxmlformats.org/officeDocument/2006/relationships/hyperlink" Id="rId211" Target="https://doi.org/10.1139/cjfas-2017-0266" TargetMode="External" /><Relationship Type="http://schemas.openxmlformats.org/officeDocument/2006/relationships/hyperlink" Id="rId191" Target="https://doi.org/10.1139/cjfas-2018-0112" TargetMode="External" /><Relationship Type="http://schemas.openxmlformats.org/officeDocument/2006/relationships/hyperlink" Id="rId207" Target="https://doi.org/10.25923/1wwh-q418" TargetMode="External" /><Relationship Type="http://schemas.openxmlformats.org/officeDocument/2006/relationships/hyperlink" Id="rId122" Target="https://github.com/noaa-afsc/EBS_pollock/tree/main/runs/SAM/poll24" TargetMode="External" /><Relationship Type="http://schemas.openxmlformats.org/officeDocument/2006/relationships/hyperlink" Id="rId136" Target="https://github.com/noaa-afsc/EBS_pollock/tree/main/runs/wham" TargetMode="External" /><Relationship Type="http://schemas.openxmlformats.org/officeDocument/2006/relationships/hyperlink" Id="rId193" Target="https://www.npfmc.org/wp-content/PDFdocuments/SAFE/2024/EBSmultispp.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Discussion paper for CIE review of the eastern Bering Sea walleye pollock stock assessment</dc:title>
  <dc:creator>Jim Ianelli, Carey McGilliard, Sofia Wassermann</dc:creator>
  <cp:keywords/>
  <dcterms:created xsi:type="dcterms:W3CDTF">2025-05-07T02:59:46Z</dcterms:created>
  <dcterms:modified xsi:type="dcterms:W3CDTF">2025-05-07T02:59:46Z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2025-05-01 00:00</vt:lpwstr>
  </property>
  <property fmtid="{D5CDD505-2E9C-101B-9397-08002B2CF9AE}" pid="7" name="date-format">
    <vt:lpwstr>YYYY-MM-DD HH:mm</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ghtbox">
    <vt:lpwstr>True</vt:lpwstr>
  </property>
  <property fmtid="{D5CDD505-2E9C-101B-9397-08002B2CF9AE}" pid="15" name="reference-docx">
    <vt:lpwstr>../template.docx</vt:lpwstr>
  </property>
  <property fmtid="{D5CDD505-2E9C-101B-9397-08002B2CF9AE}" pid="16" name="subtitle">
    <vt:lpwstr>May 2025, CIE review</vt:lpwstr>
  </property>
  <property fmtid="{D5CDD505-2E9C-101B-9397-08002B2CF9AE}" pid="17" name="toc-title">
    <vt:lpwstr>Table of contents</vt:lpwstr>
  </property>
</Properties>
</file>