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109.png" ContentType="image/png"/>
  <Override PartName="/word/media/rId100.png" ContentType="image/png"/>
  <Override PartName="/word/media/rId172.png" ContentType="image/png"/>
  <Override PartName="/word/media/rId176.png" ContentType="image/png"/>
  <Override PartName="/word/media/rId180.png" ContentType="image/png"/>
  <Override PartName="/word/media/rId136.png" ContentType="image/png"/>
  <Override PartName="/word/media/rId140.png" ContentType="image/png"/>
  <Override PartName="/word/media/rId146.png" ContentType="image/png"/>
  <Override PartName="/word/media/rId150.png" ContentType="image/png"/>
  <Override PartName="/word/media/rId154.png" ContentType="image/png"/>
  <Override PartName="/word/media/rId158.png" ContentType="image/png"/>
  <Override PartName="/word/media/rId162.png" ContentType="image/png"/>
  <Override PartName="/word/media/rId166.png" ContentType="image/png"/>
  <Override PartName="/word/media/rId185.png" ContentType="image/png"/>
  <Override PartName="/word/media/rId189.png" ContentType="image/png"/>
  <Override PartName="/word/media/rId193.png" ContentType="image/png"/>
  <Override PartName="/word/media/rId197.png" ContentType="image/png"/>
  <Override PartName="/word/media/rId120.png" ContentType="image/png"/>
  <Override PartName="/word/media/rId132.png" ContentType="image/png"/>
  <Override PartName="/word/media/rId124.png" ContentType="image/png"/>
  <Override PartName="/word/media/rId128.png" ContentType="image/png"/>
  <Override PartName="/word/media/rId113.png" ContentType="image/png"/>
  <Override PartName="/word/media/rId20.png" ContentType="image/png"/>
  <Override PartName="/word/media/rId50.png" ContentType="image/png"/>
  <Override PartName="/word/media/rId208.png" ContentType="image/png"/>
  <Override PartName="/word/media/rId203.png" ContentType="image/png"/>
  <Override PartName="/word/media/rId70.png" ContentType="image/png"/>
  <Override PartName="/word/media/rId66.png" ContentType="image/png"/>
  <Override PartName="/word/media/rId30.png" ContentType="image/png"/>
  <Override PartName="/word/media/rId26.png" ContentType="image/png"/>
  <Override PartName="/word/media/rId46.png" ContentType="image/png"/>
  <Override PartName="/word/media/rId62.png" ContentType="image/png"/>
  <Override PartName="/word/media/rId89.png" ContentType="image/png"/>
  <Override PartName="/word/media/rId93.png" ContentType="image/png"/>
  <Override PartName="/word/media/rId85.png" ContentType="image/png"/>
  <Override PartName="/word/media/rId81.png" ContentType="image/png"/>
  <Override PartName="/word/media/rId77.png" ContentType="image/png"/>
  <Override PartName="/word/media/rId58.png" ContentType="image/png"/>
  <Override PartName="/word/media/rId42.png" ContentType="image/png"/>
  <Override PartName="/word/media/rId3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p>
      <w:pPr>
        <w:pStyle w:val="SourceCode"/>
      </w:pPr>
      <w:r>
        <w:rPr>
          <w:rStyle w:val="VerbatimChar"/>
        </w:rPr>
        <w:t xml:space="preserve"> [1] "Year"                "B/Bmsy"              "HR/MSYR"            </w:t>
      </w:r>
      <w:r>
        <w:br/>
      </w:r>
      <w:r>
        <w:rPr>
          <w:rStyle w:val="VerbatimChar"/>
        </w:rPr>
        <w:t xml:space="preserve"> [4] "SER/SERmsy"          "F/Fmsy"              "Bmsy"               </w:t>
      </w:r>
      <w:r>
        <w:br/>
      </w:r>
      <w:r>
        <w:rPr>
          <w:rStyle w:val="VerbatimChar"/>
        </w:rPr>
        <w:t xml:space="preserve"> [7] "SSB"                 "Bmsy2"               "Bfshble"            </w:t>
      </w:r>
      <w:r>
        <w:br/>
      </w:r>
      <w:r>
        <w:rPr>
          <w:rStyle w:val="VerbatimChar"/>
        </w:rPr>
        <w:t xml:space="preserve">[10] "AM_fmsyr"            "C/Bfshble"           "SPRMSY_F"           </w:t>
      </w:r>
      <w:r>
        <w:br/>
      </w:r>
      <w:r>
        <w:rPr>
          <w:rStyle w:val="VerbatimChar"/>
        </w:rPr>
        <w:t xml:space="preserve">[13] "Implied_SPR"         "SPRMSY"              "meanF"              </w:t>
      </w:r>
      <w:r>
        <w:br/>
      </w:r>
      <w:r>
        <w:rPr>
          <w:rStyle w:val="VerbatimChar"/>
        </w:rPr>
        <w:t xml:space="preserve">[16] "F35"                 "Fmsy"                "Age3+"              </w:t>
      </w:r>
      <w:r>
        <w:br/>
      </w:r>
      <w:r>
        <w:rPr>
          <w:rStyle w:val="VerbatimChar"/>
        </w:rPr>
        <w:t xml:space="preserve">[19] "A3PRatio_Bmsy2"      "B35"                 "F_Fmsyr"            </w:t>
      </w:r>
      <w:r>
        <w:br/>
      </w:r>
      <w:r>
        <w:rPr>
          <w:rStyle w:val="VerbatimChar"/>
        </w:rPr>
        <w:t xml:space="preserve">[22] "avgAgeMSY"           "avgWtMSY"            "P_immature_selected"</w:t>
      </w:r>
    </w:p>
    <w:p>
      <w:pPr>
        <w:pStyle w:val="FirstParagraph"/>
      </w:pPr>
      <w:r>
        <w:drawing>
          <wp:inline>
            <wp:extent cx="5334000" cy="4267200"/>
            <wp:effectExtent b="0" l="0" r="0" t="0"/>
            <wp:docPr descr="" title="" id="21" name="Picture"/>
            <a:graphic>
              <a:graphicData uri="http://schemas.openxmlformats.org/drawingml/2006/picture">
                <pic:pic>
                  <pic:nvPicPr>
                    <pic:cNvPr descr="CIE_files/figure-docx/startup-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bookmarkStart w:id="23"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3"/>
    <w:bookmarkStart w:id="25"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4">
        <w:r>
          <w:rPr>
            <w:rStyle w:val="Hyperlink"/>
          </w:rPr>
          <w:t xml:space="preserve">here</w:t>
        </w:r>
      </w:hyperlink>
      <w:r>
        <w:t xml:space="preserve">).</w:t>
      </w:r>
    </w:p>
    <w:bookmarkEnd w:id="25"/>
    <w:bookmarkStart w:id="75"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4"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9" w:name="fig-consisTMA"/>
          <w:p>
            <w:pPr>
              <w:pStyle w:val="Compact"/>
              <w:jc w:val="center"/>
            </w:pPr>
            <w:r>
              <w:drawing>
                <wp:inline>
                  <wp:extent cx="5334000" cy="4912294"/>
                  <wp:effectExtent b="0" l="0" r="0" t="0"/>
                  <wp:docPr descr="" title="" id="27" name="Picture"/>
                  <a:graphic>
                    <a:graphicData uri="http://schemas.openxmlformats.org/drawingml/2006/picture">
                      <pic:pic>
                        <pic:nvPicPr>
                          <pic:cNvPr descr="figs/consisTMA.png" id="28" name="Picture"/>
                          <pic:cNvPicPr>
                            <a:picLocks noChangeArrowheads="1" noChangeAspect="1"/>
                          </pic:cNvPicPr>
                        </pic:nvPicPr>
                        <pic:blipFill>
                          <a:blip r:embed="rId26"/>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consisFTN"/>
          <w:p>
            <w:pPr>
              <w:pStyle w:val="Compact"/>
              <w:jc w:val="center"/>
            </w:pPr>
            <w:r>
              <w:drawing>
                <wp:inline>
                  <wp:extent cx="5334000" cy="4912294"/>
                  <wp:effectExtent b="0" l="0" r="0" t="0"/>
                  <wp:docPr descr="" title="" id="31" name="Picture"/>
                  <a:graphic>
                    <a:graphicData uri="http://schemas.openxmlformats.org/drawingml/2006/picture">
                      <pic:pic>
                        <pic:nvPicPr>
                          <pic:cNvPr descr="figs/consisFTN.png" id="32" name="Picture"/>
                          <pic:cNvPicPr>
                            <a:picLocks noChangeArrowheads="1" noChangeAspect="1"/>
                          </pic:cNvPicPr>
                        </pic:nvPicPr>
                        <pic:blipFill>
                          <a:blip r:embed="rId30"/>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3"/>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proportionsFSH"/>
          <w:p>
            <w:pPr>
              <w:pStyle w:val="Compact"/>
              <w:jc w:val="center"/>
            </w:pPr>
            <w:r>
              <w:drawing>
                <wp:inline>
                  <wp:extent cx="5334000" cy="4661551"/>
                  <wp:effectExtent b="0" l="0" r="0" t="0"/>
                  <wp:docPr descr="" title="" id="35" name="Picture"/>
                  <a:graphic>
                    <a:graphicData uri="http://schemas.openxmlformats.org/drawingml/2006/picture">
                      <pic:pic>
                        <pic:nvPicPr>
                          <pic:cNvPr descr="figs/proportionsFSH.png" id="36" name="Picture"/>
                          <pic:cNvPicPr>
                            <a:picLocks noChangeArrowheads="1" noChangeAspect="1"/>
                          </pic:cNvPicPr>
                        </pic:nvPicPr>
                        <pic:blipFill>
                          <a:blip r:embed="rId34"/>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proportionsBTS"/>
          <w:p>
            <w:pPr>
              <w:pStyle w:val="Compact"/>
              <w:jc w:val="center"/>
            </w:pPr>
            <w:r>
              <w:drawing>
                <wp:inline>
                  <wp:extent cx="5334000" cy="4615961"/>
                  <wp:effectExtent b="0" l="0" r="0" t="0"/>
                  <wp:docPr descr="" title="" id="39" name="Picture"/>
                  <a:graphic>
                    <a:graphicData uri="http://schemas.openxmlformats.org/drawingml/2006/picture">
                      <pic:pic>
                        <pic:nvPicPr>
                          <pic:cNvPr descr="figs/proportionsBTS.png" id="40" name="Picture"/>
                          <pic:cNvPicPr>
                            <a:picLocks noChangeArrowheads="1" noChangeAspect="1"/>
                          </pic:cNvPicPr>
                        </pic:nvPicPr>
                        <pic:blipFill>
                          <a:blip r:embed="rId38"/>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proportionsATS"/>
          <w:p>
            <w:pPr>
              <w:pStyle w:val="Compact"/>
              <w:jc w:val="center"/>
            </w:pPr>
            <w:r>
              <w:drawing>
                <wp:inline>
                  <wp:extent cx="5334000" cy="4501987"/>
                  <wp:effectExtent b="0" l="0" r="0" t="0"/>
                  <wp:docPr descr="" title="" id="43" name="Picture"/>
                  <a:graphic>
                    <a:graphicData uri="http://schemas.openxmlformats.org/drawingml/2006/picture">
                      <pic:pic>
                        <pic:nvPicPr>
                          <pic:cNvPr descr="figs/proportionsATS.png" id="44" name="Picture"/>
                          <pic:cNvPicPr>
                            <a:picLocks noChangeArrowheads="1" noChangeAspect="1"/>
                          </pic:cNvPicPr>
                        </pic:nvPicPr>
                        <pic:blipFill>
                          <a:blip r:embed="rId42"/>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5"/>
        </w:tc>
      </w:tr>
    </w:tbl>
    <w:tbl>
      <w:tblPr>
        <w:tblStyle w:val="Table"/>
        <w:tblW w:type="pct" w:w="5000"/>
        <w:tblLayout w:type="fixed"/>
        <w:tblLook w:firstRow="0" w:lastRow="0" w:firstColumn="0" w:lastColumn="0" w:noHBand="0" w:noVBand="0" w:val="0000"/>
      </w:tblPr>
      <w:tblGrid>
        <w:gridCol w:w="7920"/>
      </w:tblGrid>
      <w:tr>
        <w:tc>
          <w:tcPr/>
          <w:bookmarkStart w:id="49" w:name="fig-dataFile"/>
          <w:p>
            <w:pPr>
              <w:pStyle w:val="Compact"/>
              <w:jc w:val="center"/>
            </w:pPr>
            <w:r>
              <w:drawing>
                <wp:inline>
                  <wp:extent cx="3222780" cy="4898114"/>
                  <wp:effectExtent b="0" l="0" r="0" t="0"/>
                  <wp:docPr descr="" title="" id="47" name="Picture"/>
                  <a:graphic>
                    <a:graphicData uri="http://schemas.openxmlformats.org/drawingml/2006/picture">
                      <pic:pic>
                        <pic:nvPicPr>
                          <pic:cNvPr descr="figs/dataFile.png" id="48" name="Picture"/>
                          <pic:cNvPicPr>
                            <a:picLocks noChangeArrowheads="1" noChangeAspect="1"/>
                          </pic:cNvPicPr>
                        </pic:nvPicPr>
                        <pic:blipFill>
                          <a:blip r:embed="rId46"/>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9"/>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3" w:name="fig-dataExtent"/>
          <w:p>
            <w:pPr>
              <w:pStyle w:val="Compact"/>
              <w:jc w:val="center"/>
            </w:pPr>
            <w:r>
              <w:drawing>
                <wp:inline>
                  <wp:extent cx="5334000" cy="2963333"/>
                  <wp:effectExtent b="0" l="0" r="0" t="0"/>
                  <wp:docPr descr="" title="" id="51" name="Picture"/>
                  <a:graphic>
                    <a:graphicData uri="http://schemas.openxmlformats.org/drawingml/2006/picture">
                      <pic:pic>
                        <pic:nvPicPr>
                          <pic:cNvPr descr="figs/DataExtent.png" id="52" name="Picture"/>
                          <pic:cNvPicPr>
                            <a:picLocks noChangeArrowheads="1" noChangeAspect="1"/>
                          </pic:cNvPicPr>
                        </pic:nvPicPr>
                        <pic:blipFill>
                          <a:blip r:embed="rId5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3"/>
        </w:tc>
      </w:tr>
    </w:tbl>
    <w:bookmarkEnd w:id="54"/>
    <w:bookmarkStart w:id="74"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5"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5"/>
        </w:tc>
      </w:tr>
    </w:tbl>
    <w:tbl>
      <w:tblPr>
        <w:tblStyle w:val="Table"/>
        <w:tblW w:type="pct" w:w="5000"/>
        <w:tblLayout w:type="fixed"/>
        <w:tblLook w:firstRow="0" w:lastRow="0" w:firstColumn="0" w:lastColumn="0" w:noHBand="0" w:noVBand="0" w:val="0000"/>
      </w:tblPr>
      <w:tblGrid>
        <w:gridCol w:w="7920"/>
      </w:tblGrid>
      <w:tr>
        <w:tc>
          <w:tcPr/>
          <w:bookmarkStart w:id="56"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7"/>
        </w:tc>
      </w:tr>
    </w:tbl>
    <w:tbl>
      <w:tblPr>
        <w:tblStyle w:val="Table"/>
        <w:tblW w:type="pct" w:w="5000"/>
        <w:tblLayout w:type="fixed"/>
        <w:tblLook w:firstRow="0" w:lastRow="0" w:firstColumn="0" w:lastColumn="0" w:noHBand="0" w:noVBand="0" w:val="0000"/>
      </w:tblPr>
      <w:tblGrid>
        <w:gridCol w:w="7920"/>
      </w:tblGrid>
      <w:tr>
        <w:tc>
          <w:tcPr/>
          <w:bookmarkStart w:id="61" w:name="fig-mod_fit_agg_comp"/>
          <w:p>
            <w:pPr>
              <w:pStyle w:val="Compact"/>
              <w:jc w:val="center"/>
            </w:pPr>
            <w:r>
              <w:drawing>
                <wp:inline>
                  <wp:extent cx="5334000" cy="2845836"/>
                  <wp:effectExtent b="0" l="0" r="0" t="0"/>
                  <wp:docPr descr="" title="" id="59" name="Picture"/>
                  <a:graphic>
                    <a:graphicData uri="http://schemas.openxmlformats.org/drawingml/2006/picture">
                      <pic:pic>
                        <pic:nvPicPr>
                          <pic:cNvPr descr="figs/mod_fit_agg_comp.png" id="60" name="Picture"/>
                          <pic:cNvPicPr>
                            <a:picLocks noChangeArrowheads="1" noChangeAspect="1"/>
                          </pic:cNvPicPr>
                        </pic:nvPicPr>
                        <pic:blipFill>
                          <a:blip r:embed="rId58"/>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bts_fish"/>
          <w:p>
            <w:pPr>
              <w:pStyle w:val="Compact"/>
              <w:jc w:val="center"/>
            </w:pPr>
            <w:r>
              <w:drawing>
                <wp:inline>
                  <wp:extent cx="5334000" cy="2720975"/>
                  <wp:effectExtent b="0" l="0" r="0" t="0"/>
                  <wp:docPr descr="" title="" id="63" name="Picture"/>
                  <a:graphic>
                    <a:graphicData uri="http://schemas.openxmlformats.org/drawingml/2006/picture">
                      <pic:pic>
                        <pic:nvPicPr>
                          <pic:cNvPr descr="figs/fish_osa.png" id="64" name="Picture"/>
                          <pic:cNvPicPr>
                            <a:picLocks noChangeArrowheads="1" noChangeAspect="1"/>
                          </pic:cNvPicPr>
                        </pic:nvPicPr>
                        <pic:blipFill>
                          <a:blip r:embed="rId62"/>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5"/>
        </w:tc>
      </w:tr>
    </w:tbl>
    <w:tbl>
      <w:tblPr>
        <w:tblStyle w:val="Table"/>
        <w:tblW w:type="pct" w:w="5000"/>
        <w:tblLayout w:type="fixed"/>
        <w:tblLook w:firstRow="0" w:lastRow="0" w:firstColumn="0" w:lastColumn="0" w:noHBand="0" w:noVBand="0" w:val="0000"/>
      </w:tblPr>
      <w:tblGrid>
        <w:gridCol w:w="7920"/>
      </w:tblGrid>
      <w:tr>
        <w:tc>
          <w:tcPr/>
          <w:bookmarkStart w:id="69" w:name="fig-bts_osa"/>
          <w:p>
            <w:pPr>
              <w:pStyle w:val="Compact"/>
              <w:jc w:val="center"/>
            </w:pPr>
            <w:r>
              <w:drawing>
                <wp:inline>
                  <wp:extent cx="5334000" cy="2757516"/>
                  <wp:effectExtent b="0" l="0" r="0" t="0"/>
                  <wp:docPr descr="" title="" id="67" name="Picture"/>
                  <a:graphic>
                    <a:graphicData uri="http://schemas.openxmlformats.org/drawingml/2006/picture">
                      <pic:pic>
                        <pic:nvPicPr>
                          <pic:cNvPr descr="figs/bts_osa.png" id="68" name="Picture"/>
                          <pic:cNvPicPr>
                            <a:picLocks noChangeArrowheads="1" noChangeAspect="1"/>
                          </pic:cNvPicPr>
                        </pic:nvPicPr>
                        <pic:blipFill>
                          <a:blip r:embed="rId66"/>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ats_osa"/>
          <w:p>
            <w:pPr>
              <w:pStyle w:val="Compact"/>
              <w:jc w:val="center"/>
            </w:pPr>
            <w:r>
              <w:drawing>
                <wp:inline>
                  <wp:extent cx="5334000" cy="2714795"/>
                  <wp:effectExtent b="0" l="0" r="0" t="0"/>
                  <wp:docPr descr="" title="" id="71" name="Picture"/>
                  <a:graphic>
                    <a:graphicData uri="http://schemas.openxmlformats.org/drawingml/2006/picture">
                      <pic:pic>
                        <pic:nvPicPr>
                          <pic:cNvPr descr="figs/ats_osa.png" id="72" name="Picture"/>
                          <pic:cNvPicPr>
                            <a:picLocks noChangeArrowheads="1" noChangeAspect="1"/>
                          </pic:cNvPicPr>
                        </pic:nvPicPr>
                        <pic:blipFill>
                          <a:blip r:embed="rId70"/>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3"/>
        </w:tc>
      </w:tr>
    </w:tbl>
    <w:bookmarkEnd w:id="74"/>
    <w:bookmarkEnd w:id="75"/>
    <w:bookmarkStart w:id="99"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w:t>
      </w:r>
      <w:r>
        <w:t xml:space="preserve"> </w:t>
      </w:r>
      <w:r>
        <w:t xml:space="preserve">includes six model runs: (1) downweight all Acoustic Trawl Survey (ATS) data (age 1 survey</w:t>
      </w:r>
      <w:r>
        <w:t xml:space="preserve"> </w:t>
      </w:r>
      <w:r>
        <w:t xml:space="preserve">index, age 2+ survey biomass index, and age composition data), (2) downweight the ATS age</w:t>
      </w:r>
      <w:r>
        <w:t xml:space="preserve"> </w:t>
      </w:r>
      <w:r>
        <w:t xml:space="preserve">composition data, (3) downweight the Acoustic Vessels of Opportunity (AVO) data (survey</w:t>
      </w:r>
      <w:r>
        <w:t xml:space="preserve"> </w:t>
      </w:r>
      <w:r>
        <w:t xml:space="preserve">biomass index), (4) downweight all Eastern Bering Sea Trawl Survey (BTS) data (age 1+</w:t>
      </w:r>
      <w:r>
        <w:t xml:space="preserve"> </w:t>
      </w:r>
      <w:r>
        <w:t xml:space="preserve">survey biomass index and age composition data), (5) downweight the BTS age composition</w:t>
      </w:r>
      <w:r>
        <w:t xml:space="preserve"> </w:t>
      </w:r>
      <w:r>
        <w:t xml:space="preserve">data, and (6) downweight all survey biomass indices (BTS, ATS, and AVO survey biomass</w:t>
      </w:r>
      <w:r>
        <w:t xml:space="preserve"> </w:t>
      </w:r>
      <w:r>
        <w:t xml:space="preserve">indices). The ATS age 1 data are included as a separate survey index in the assessment</w:t>
      </w:r>
      <w:r>
        <w:t xml:space="preserve"> </w:t>
      </w:r>
      <w:r>
        <w:t xml:space="preserve">model, while BTS age 1 data are included with the age composition data in the multinomial</w:t>
      </w:r>
      <w:r>
        <w:t xml:space="preserve"> </w:t>
      </w:r>
      <w:r>
        <w:t xml:space="preserve">objective function component.</w:t>
      </w:r>
    </w:p>
    <w:tbl>
      <w:tblPr>
        <w:tblStyle w:val="Table"/>
        <w:tblW w:type="pct" w:w="5000"/>
        <w:tblLayout w:type="fixed"/>
        <w:tblLook w:firstRow="0" w:lastRow="0" w:firstColumn="0" w:lastColumn="0" w:noHBand="0" w:noVBand="0" w:val="0000"/>
      </w:tblPr>
      <w:tblGrid>
        <w:gridCol w:w="7920"/>
      </w:tblGrid>
      <w:tr>
        <w:tc>
          <w:tcPr/>
          <w:bookmarkStart w:id="76"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6"/>
        </w:tc>
      </w:tr>
    </w:tbl>
    <w:p>
      <w:pPr>
        <w:pStyle w:val="BodyText"/>
      </w:pPr>
      <w:r>
        <w:t xml:space="preserve">Among these models, downweighting the BTS data (both solely downweighting the BTS age</w:t>
      </w:r>
      <w:r>
        <w:t xml:space="preserve"> </w:t>
      </w:r>
      <w:r>
        <w:t xml:space="preserve">composition data and downweighting all BTS data) led to changes in trends over time in</w:t>
      </w:r>
      <w:r>
        <w:t xml:space="preserve"> </w:t>
      </w:r>
      <w:r>
        <w:t xml:space="preserve">estimated spawning biomass</w:t>
      </w:r>
      <w:r>
        <w:t xml:space="preserve"> </w:t>
      </w:r>
      <w:hyperlink w:anchor="fig-loo-ssb">
        <w:r>
          <w:rPr>
            <w:rStyle w:val="Hyperlink"/>
          </w:rPr>
          <w:t xml:space="preserve">Figure 12</w:t>
        </w:r>
      </w:hyperlink>
      <w:r>
        <w:t xml:space="preserve"> </w:t>
      </w:r>
      <w:r>
        <w:t xml:space="preserve">. The model estimates of recruitment were variable</w:t>
      </w:r>
      <w:r>
        <w:t xml:space="preserve"> </w:t>
      </w:r>
      <w:r>
        <w:t xml:space="preserve">across sensitivity runs, but estimates differed the most from the 2024 accepted model when</w:t>
      </w:r>
      <w:r>
        <w:t xml:space="preserve"> </w:t>
      </w:r>
      <w:r>
        <w:t xml:space="preserve">all BTS data were downweighted</w:t>
      </w:r>
      <w:r>
        <w:t xml:space="preserve"> </w:t>
      </w:r>
      <w:hyperlink w:anchor="fig-loo-recruitment">
        <w:r>
          <w:rPr>
            <w:rStyle w:val="Hyperlink"/>
          </w:rPr>
          <w:t xml:space="preserve">Figure 13</w:t>
        </w:r>
      </w:hyperlink>
      <w:r>
        <w:t xml:space="preserve">. Estimates of BTS survey biomass fit</w:t>
      </w:r>
      <w:r>
        <w:t xml:space="preserve"> </w:t>
      </w:r>
      <w:r>
        <w:t xml:space="preserve">the BTS data very poorly in most years when the BTS data were downweighted</w:t>
      </w:r>
      <w:r>
        <w:t xml:space="preserve"> </w:t>
      </w:r>
      <w:r>
        <w:t xml:space="preserve">(</w:t>
      </w:r>
      <w:hyperlink w:anchor="fig-loo-bts-index">
        <w:r>
          <w:rPr>
            <w:rStyle w:val="Hyperlink"/>
          </w:rPr>
          <w:t xml:space="preserve">Figure 14</w:t>
        </w:r>
      </w:hyperlink>
      <w:r>
        <w:t xml:space="preserve">). Additionally, the fits to the BTS survey biomass were affected by</w:t>
      </w:r>
      <w:r>
        <w:t xml:space="preserve"> </w:t>
      </w:r>
      <w:r>
        <w:t xml:space="preserve">downweighting the BTS age composition data (without downweighting the BTS survey index).</w:t>
      </w:r>
      <w:r>
        <w:t xml:space="preserve"> </w:t>
      </w:r>
      <w:r>
        <w:t xml:space="preserve">The model was relatively insensitive to other data being excluded, and fits to the ATS and</w:t>
      </w:r>
      <w:r>
        <w:t xml:space="preserve"> </w:t>
      </w:r>
      <w:r>
        <w:t xml:space="preserve">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w:t>
      </w:r>
      <w:r>
        <w:t xml:space="preserve"> </w:t>
      </w:r>
      <w:r>
        <w:t xml:space="preserve">error (RMSE) in</w:t>
      </w:r>
      <w:r>
        <w:t xml:space="preserve"> </w:t>
      </w:r>
      <w:hyperlink w:anchor="tbl-loo_fits">
        <w:r>
          <w:rPr>
            <w:rStyle w:val="Hyperlink"/>
          </w:rPr>
          <w:t xml:space="preserve">Table 5</w:t>
        </w:r>
      </w:hyperlink>
      <w:r>
        <w:t xml:space="preserve"> </w:t>
      </w:r>
      <w:r>
        <w:t xml:space="preserve">for the model run that downweighted all BTS data was large</w:t>
      </w:r>
      <w:r>
        <w:t xml:space="preserve"> </w:t>
      </w:r>
      <w:r>
        <w:t xml:space="preserve">and the and effective sample size (Eff. N) was low as compared to the 2024 accepted model.</w:t>
      </w:r>
      <w:r>
        <w:t xml:space="preserve"> </w:t>
      </w:r>
      <w:r>
        <w:t xml:space="preserve">Additionally, downweighting solely the BTS age composition data led to low effective</w:t>
      </w:r>
      <w:r>
        <w:t xml:space="preserve"> </w:t>
      </w:r>
      <w:r>
        <w:t xml:space="preserve">sample size for the BTS.</w:t>
      </w:r>
    </w:p>
    <w:p>
      <w:pPr>
        <w:pStyle w:val="BodyText"/>
      </w:pPr>
      <w:r>
        <w:t xml:space="preserve">The importance of the survey data can be seen in some of the reference calculations where</w:t>
      </w:r>
      <w:r>
        <w:t xml:space="preserve"> </w:t>
      </w:r>
      <w:r>
        <w:t xml:space="preserve">the uncertainty increases dramatically and the stock-status perception was quite different</w:t>
      </w:r>
      <w:r>
        <w:t xml:space="preserve"> </w:t>
      </w:r>
      <w:r>
        <w:t xml:space="preserve">across sensitivity runs</w:t>
      </w:r>
      <w:r>
        <w:t xml:space="preserve"> </w:t>
      </w:r>
      <w:hyperlink w:anchor="tbl-loo_ref">
        <w:r>
          <w:rPr>
            <w:rStyle w:val="Hyperlink"/>
          </w:rPr>
          <w:t xml:space="preserve">Table 6</w:t>
        </w:r>
      </w:hyperlink>
      <w:r>
        <w:t xml:space="preserve">. Most dramatically, dropping all survey indices led</w:t>
      </w:r>
      <w:r>
        <w:t xml:space="preserve"> </w:t>
      </w:r>
      <w:r>
        <w:t xml:space="preserve">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80" w:name="fig-loo-ssb"/>
          <w:p>
            <w:pPr>
              <w:pStyle w:val="Compact"/>
              <w:jc w:val="center"/>
            </w:pPr>
            <w:r>
              <w:drawing>
                <wp:inline>
                  <wp:extent cx="5334000" cy="2667000"/>
                  <wp:effectExtent b="0" l="0" r="0" t="0"/>
                  <wp:docPr descr="" title="" id="78" name="Picture"/>
                  <a:graphic>
                    <a:graphicData uri="http://schemas.openxmlformats.org/drawingml/2006/picture">
                      <pic:pic>
                        <pic:nvPicPr>
                          <pic:cNvPr descr="figs/loo_rel_ssb.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loo-recruitment"/>
          <w:p>
            <w:pPr>
              <w:pStyle w:val="Compact"/>
              <w:jc w:val="center"/>
            </w:pPr>
            <w:r>
              <w:drawing>
                <wp:inline>
                  <wp:extent cx="5334000" cy="1777999"/>
                  <wp:effectExtent b="0" l="0" r="0" t="0"/>
                  <wp:docPr descr="" title="" id="82" name="Picture"/>
                  <a:graphic>
                    <a:graphicData uri="http://schemas.openxmlformats.org/drawingml/2006/picture">
                      <pic:pic>
                        <pic:nvPicPr>
                          <pic:cNvPr descr="figs/loo_recruits.png" id="83" name="Picture"/>
                          <pic:cNvPicPr>
                            <a:picLocks noChangeArrowheads="1" noChangeAspect="1"/>
                          </pic:cNvPicPr>
                        </pic:nvPicPr>
                        <pic:blipFill>
                          <a:blip r:embed="rId81"/>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4"/>
        </w:tc>
      </w:tr>
    </w:tbl>
    <w:tbl>
      <w:tblPr>
        <w:tblStyle w:val="Table"/>
        <w:tblW w:type="pct" w:w="5000"/>
        <w:tblLayout w:type="fixed"/>
        <w:tblLook w:firstRow="0" w:lastRow="0" w:firstColumn="0" w:lastColumn="0" w:noHBand="0" w:noVBand="0" w:val="0000"/>
      </w:tblPr>
      <w:tblGrid>
        <w:gridCol w:w="7920"/>
      </w:tblGrid>
      <w:tr>
        <w:tc>
          <w:tcPr/>
          <w:bookmarkStart w:id="88" w:name="fig-loo-bts-index"/>
          <w:p>
            <w:pPr>
              <w:pStyle w:val="Compact"/>
              <w:jc w:val="center"/>
            </w:pPr>
            <w:r>
              <w:drawing>
                <wp:inline>
                  <wp:extent cx="5334000" cy="2667000"/>
                  <wp:effectExtent b="0" l="0" r="0" t="0"/>
                  <wp:docPr descr="" title="" id="86" name="Picture"/>
                  <a:graphic>
                    <a:graphicData uri="http://schemas.openxmlformats.org/drawingml/2006/picture">
                      <pic:pic>
                        <pic:nvPicPr>
                          <pic:cNvPr descr="figs/loo_bts_index.png" id="87" name="Picture"/>
                          <pic:cNvPicPr>
                            <a:picLocks noChangeArrowheads="1" noChangeAspect="1"/>
                          </pic:cNvPicPr>
                        </pic:nvPicPr>
                        <pic:blipFill>
                          <a:blip r:embed="rId8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8"/>
        </w:tc>
      </w:tr>
    </w:tbl>
    <w:tbl>
      <w:tblPr>
        <w:tblStyle w:val="Table"/>
        <w:tblW w:type="pct" w:w="5000"/>
        <w:tblLayout w:type="fixed"/>
        <w:tblLook w:firstRow="0" w:lastRow="0" w:firstColumn="0" w:lastColumn="0" w:noHBand="0" w:noVBand="0" w:val="0000"/>
      </w:tblPr>
      <w:tblGrid>
        <w:gridCol w:w="7920"/>
      </w:tblGrid>
      <w:tr>
        <w:tc>
          <w:tcPr/>
          <w:bookmarkStart w:id="92" w:name="fig-loo-ats-index"/>
          <w:p>
            <w:pPr>
              <w:pStyle w:val="Compact"/>
              <w:jc w:val="center"/>
            </w:pPr>
            <w:r>
              <w:drawing>
                <wp:inline>
                  <wp:extent cx="5334000" cy="2667000"/>
                  <wp:effectExtent b="0" l="0" r="0" t="0"/>
                  <wp:docPr descr="" title="" id="90" name="Picture"/>
                  <a:graphic>
                    <a:graphicData uri="http://schemas.openxmlformats.org/drawingml/2006/picture">
                      <pic:pic>
                        <pic:nvPicPr>
                          <pic:cNvPr descr="figs/loo_ats_index.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92"/>
        </w:tc>
      </w:tr>
    </w:tbl>
    <w:tbl>
      <w:tblPr>
        <w:tblStyle w:val="Table"/>
        <w:tblW w:type="pct" w:w="5000"/>
        <w:tblLayout w:type="fixed"/>
        <w:tblLook w:firstRow="0" w:lastRow="0" w:firstColumn="0" w:lastColumn="0" w:noHBand="0" w:noVBand="0" w:val="0000"/>
      </w:tblPr>
      <w:tblGrid>
        <w:gridCol w:w="7920"/>
      </w:tblGrid>
      <w:tr>
        <w:tc>
          <w:tcPr/>
          <w:bookmarkStart w:id="96" w:name="fig-loo-avo-index"/>
          <w:p>
            <w:pPr>
              <w:pStyle w:val="Compact"/>
              <w:jc w:val="center"/>
            </w:pPr>
            <w:r>
              <w:drawing>
                <wp:inline>
                  <wp:extent cx="5334000" cy="2667000"/>
                  <wp:effectExtent b="0" l="0" r="0" t="0"/>
                  <wp:docPr descr="" title="" id="94" name="Picture"/>
                  <a:graphic>
                    <a:graphicData uri="http://schemas.openxmlformats.org/drawingml/2006/picture">
                      <pic:pic>
                        <pic:nvPicPr>
                          <pic:cNvPr descr="figs/loo_avo_index.png" id="95" name="Picture"/>
                          <pic:cNvPicPr>
                            <a:picLocks noChangeArrowheads="1" noChangeAspect="1"/>
                          </pic:cNvPicPr>
                        </pic:nvPicPr>
                        <pic:blipFill>
                          <a:blip r:embed="rId9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6"/>
        </w:tc>
      </w:tr>
    </w:tbl>
    <w:tbl>
      <w:tblPr>
        <w:tblStyle w:val="Table"/>
        <w:tblW w:type="pct" w:w="5000"/>
        <w:tblLayout w:type="fixed"/>
        <w:tblLook w:firstRow="0" w:lastRow="0" w:firstColumn="0" w:lastColumn="0" w:noHBand="0" w:noVBand="0" w:val="0000"/>
      </w:tblPr>
      <w:tblGrid>
        <w:gridCol w:w="7920"/>
      </w:tblGrid>
      <w:tr>
        <w:tc>
          <w:tcPr/>
          <w:bookmarkStart w:id="97"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7"/>
        </w:tc>
      </w:tr>
    </w:tbl>
    <w:tbl>
      <w:tblPr>
        <w:tblStyle w:val="Table"/>
        <w:tblW w:type="pct" w:w="5000"/>
        <w:tblLayout w:type="fixed"/>
        <w:tblLook w:firstRow="0" w:lastRow="0" w:firstColumn="0" w:lastColumn="0" w:noHBand="0" w:noVBand="0" w:val="0000"/>
      </w:tblPr>
      <w:tblGrid>
        <w:gridCol w:w="7920"/>
      </w:tblGrid>
      <w:tr>
        <w:tc>
          <w:tcPr/>
          <w:bookmarkStart w:id="98"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8"/>
        </w:tc>
      </w:tr>
    </w:tbl>
    <w:bookmarkEnd w:id="99"/>
    <w:bookmarkStart w:id="119" w:name="Xeec095f7fc602e61fb65b48b22dcf97e7ca66cf"/>
    <w:p>
      <w:pPr>
        <w:pStyle w:val="Heading1"/>
      </w:pPr>
      <w:r>
        <w:t xml:space="preserve">Incorporating multi-species M-at-age and year estimates, also total uncertainty in acoustics…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 The current assessment has</w:t>
      </w:r>
      <w:r>
        <w:t xml:space="preserve"> </w:t>
      </w:r>
      <w:r>
        <w:t xml:space="preserve">an option to include the 2024 CEATTLE estimates of natural 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 recruitment (</w:t>
      </w:r>
      <w:hyperlink w:anchor="fig-Mmat-recruitment">
        <w:r>
          <w:rPr>
            <w:rStyle w:val="Hyperlink"/>
          </w:rPr>
          <w:t xml:space="preserve">Figure 18</w:t>
        </w:r>
      </w:hyperlink>
      <w:r>
        <w:t xml:space="preserve">)</w:t>
      </w:r>
      <w:r>
        <w:t xml:space="preserve"> </w:t>
      </w:r>
      <w:r>
        <w:t xml:space="preserve">lower spawning biomass in the near term (</w:t>
      </w:r>
      <w:hyperlink w:anchor="fig-Mmat-ssb">
        <w:r>
          <w:rPr>
            <w:rStyle w:val="Hyperlink"/>
          </w:rPr>
          <w:t xml:space="preserve">Figure 19</w:t>
        </w:r>
      </w:hyperlink>
      <w:r>
        <w:t xml:space="preserve">). This is due to the higher natural</w:t>
      </w:r>
      <w:r>
        <w:t xml:space="preserve"> </w:t>
      </w:r>
      <w:r>
        <w:t xml:space="preserve">mortality for most ages and years compared to the base 2024 model.</w:t>
      </w:r>
    </w:p>
    <w:tbl>
      <w:tblPr>
        <w:tblStyle w:val="Table"/>
        <w:tblW w:type="pct" w:w="5000"/>
        <w:tblLayout w:type="fixed"/>
        <w:tblLook w:firstRow="0" w:lastRow="0" w:firstColumn="0" w:lastColumn="0" w:noHBand="0" w:noVBand="0" w:val="0000"/>
      </w:tblPr>
      <w:tblGrid>
        <w:gridCol w:w="7920"/>
      </w:tblGrid>
      <w:tr>
        <w:tc>
          <w:tcPr/>
          <w:bookmarkStart w:id="103" w:name="fig-Mmatrix_matrix"/>
          <w:p>
            <w:pPr>
              <w:pStyle w:val="Compact"/>
              <w:jc w:val="center"/>
            </w:pPr>
            <w:r>
              <w:drawing>
                <wp:inline>
                  <wp:extent cx="5334000" cy="4267200"/>
                  <wp:effectExtent b="0" l="0" r="0" t="0"/>
                  <wp:docPr descr="" title="" id="101" name="Picture"/>
                  <a:graphic>
                    <a:graphicData uri="http://schemas.openxmlformats.org/drawingml/2006/picture">
                      <pic:pic>
                        <pic:nvPicPr>
                          <pic:cNvPr descr="CIE_files/figure-docx/fig-Mmatrix_matrix-1.png" id="102" name="Picture"/>
                          <pic:cNvPicPr>
                            <a:picLocks noChangeArrowheads="1" noChangeAspect="1"/>
                          </pic:cNvPicPr>
                        </pic:nvPicPr>
                        <pic:blipFill>
                          <a:blip r:embed="rId10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3"/>
        </w:tc>
      </w:tr>
    </w:tbl>
    <w:tbl>
      <w:tblPr>
        <w:tblStyle w:val="Table"/>
        <w:tblW w:type="pct" w:w="5000"/>
        <w:tblLayout w:type="fixed"/>
        <w:tblLook w:firstRow="0" w:lastRow="0" w:firstColumn="0" w:lastColumn="0" w:noHBand="0" w:noVBand="0" w:val="0000"/>
      </w:tblPr>
      <w:tblGrid>
        <w:gridCol w:w="7920"/>
      </w:tblGrid>
      <w:tr>
        <w:tc>
          <w:tcPr/>
          <w:bookmarkStart w:id="104"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Mmat-recruitment"/>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Mmat-recruitment-1.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Mmat-ssb"/>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Mmat-ssb-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12"/>
        </w:tc>
      </w:tr>
    </w:tbl>
    <w:p>
      <w:pPr>
        <w:pStyle w:val="BodyText"/>
      </w:pPr>
      <w:r>
        <w:t xml:space="preserve">We also include a comparison of revised acoustic-trawl estimates (</w:t>
      </w:r>
      <w:r>
        <w:t xml:space="preserve">Urmy, Ressler, and De Robertis (2025)</w:t>
      </w:r>
      <w:r>
        <w:t xml:space="preserve">;</w:t>
      </w:r>
      <w:r>
        <w:t xml:space="preserve"> </w:t>
      </w:r>
      <w:hyperlink w:anchor="fig-urmy_ats">
        <w:r>
          <w:rPr>
            <w:rStyle w:val="Hyperlink"/>
          </w:rPr>
          <w:t xml:space="preserve">Figure 20</w:t>
        </w:r>
      </w:hyperlink>
      <w:r>
        <w:t xml:space="preserve">). The natural mortaliity alternative run resulted in generally better fits</w:t>
      </w:r>
      <w:r>
        <w:t xml:space="preserve"> </w:t>
      </w:r>
      <w:r>
        <w:t xml:space="preserve">to most data components whereas the</w:t>
      </w:r>
      <w:r>
        <w:t xml:space="preserve"> </w:t>
      </w:r>
      <w:r>
        <w:t xml:space="preserve">“untuned”</w:t>
      </w:r>
      <w:r>
        <w:t xml:space="preserve"> </w:t>
      </w:r>
      <w:r>
        <w:t xml:space="preserve">run with the</w:t>
      </w:r>
      <w:r>
        <w:t xml:space="preserve"> </w:t>
      </w:r>
      <w:r>
        <w:t xml:space="preserve">Urmy, Ressler, and De Robertis (2025)</w:t>
      </w:r>
      <w:r>
        <w:t xml:space="preserve"> </w:t>
      </w:r>
      <w:r>
        <w:t xml:space="preserve">estimates were</w:t>
      </w:r>
      <w:r>
        <w:t xml:space="preserve"> </w:t>
      </w:r>
      <w:r>
        <w:t xml:space="preserve">generally poorer (</w:t>
      </w:r>
      <w:hyperlink w:anchor="tbl-Mmat_fits">
        <w:r>
          <w:rPr>
            <w:rStyle w:val="Hyperlink"/>
          </w:rPr>
          <w:t xml:space="preserve">Table 8</w:t>
        </w:r>
      </w:hyperlink>
      <w:r>
        <w:t xml:space="preserve">). Results from the</w:t>
      </w:r>
      <w:r>
        <w:t xml:space="preserve"> </w:t>
      </w:r>
      <w:r>
        <w:t xml:space="preserve">Urmy, Ressler, and De Robertis (2025)</w:t>
      </w:r>
      <w:r>
        <w:t xml:space="preserve"> </w:t>
      </w:r>
      <w:r>
        <w:t xml:space="preserve">had minor impact on</w:t>
      </w:r>
      <w:r>
        <w:t xml:space="preserve"> </w:t>
      </w:r>
      <w:r>
        <w:t xml:space="preserve">management-related quantities whereas those with the alternative natural mortality</w:t>
      </w:r>
      <w:r>
        <w:t xml:space="preserve"> </w:t>
      </w:r>
      <w:r>
        <w:t xml:space="preserve">specification differed in a number of ways (</w:t>
      </w:r>
      <w:hyperlink w:anchor="tbl-Mmat_ref">
        <w:r>
          <w:rPr>
            <w:rStyle w:val="Hyperlink"/>
          </w:rPr>
          <w:t xml:space="preserve">Table 9</w:t>
        </w:r>
      </w:hyperlink>
      <w:r>
        <w:t xml:space="preserve">). The most notable difference</w:t>
      </w:r>
      <w:r>
        <w:t xml:space="preserve"> </w:t>
      </w:r>
      <w:r>
        <w:t xml:space="preserve">was the estimated</w:t>
      </w:r>
      <w:r>
        <w:t xml:space="preserve"> </w:t>
      </w:r>
      <m:oMath>
        <m:sSub>
          <m:e>
            <m:r>
              <m:t>B</m:t>
            </m:r>
          </m:e>
          <m:sub>
            <m:r>
              <m:t>M</m:t>
            </m:r>
            <m:r>
              <m:t>S</m:t>
            </m:r>
            <m:r>
              <m:t>Y</m:t>
            </m:r>
          </m:sub>
        </m:sSub>
      </m:oMath>
      <w:r>
        <w:t xml:space="preserve"> </w:t>
      </w:r>
      <w:r>
        <w:t xml:space="preserve">and</w:t>
      </w:r>
      <w:r>
        <w:t xml:space="preserve"> </w:t>
      </w:r>
      <m:oMath>
        <m:sSub>
          <m:e>
            <m:r>
              <m:t>B</m:t>
            </m:r>
          </m:e>
          <m:sub>
            <m:r>
              <m:t>35</m:t>
            </m:r>
            <m:r>
              <m:rPr>
                <m:sty m:val="p"/>
              </m:rPr>
              <m:t>%</m:t>
            </m:r>
          </m:sub>
        </m:sSub>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116" w:name="fig-urmy_ats"/>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urmy_ats-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Comparison of fits to the Eastern Bering Sea acoustic-Trawl Survey (ATS) biomass index for the accepted 2024 model and one with revised estimates of index values and uncertainty from Urmy et al., (in prep).</w:t>
            </w:r>
          </w:p>
          <w:bookmarkEnd w:id="116"/>
        </w:tc>
      </w:tr>
    </w:tbl>
    <w:tbl>
      <w:tblPr>
        <w:tblStyle w:val="Table"/>
        <w:tblW w:type="pct" w:w="5000"/>
        <w:tblLayout w:type="fixed"/>
        <w:tblLook w:firstRow="0" w:lastRow="0" w:firstColumn="0" w:lastColumn="0" w:noHBand="0" w:noVBand="0" w:val="0000"/>
      </w:tblPr>
      <w:tblGrid>
        <w:gridCol w:w="7920"/>
      </w:tblGrid>
      <w:tr>
        <w:tc>
          <w:tcPr/>
          <w:bookmarkStart w:id="117"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7"/>
        </w:tc>
      </w:tr>
    </w:tbl>
    <w:tbl>
      <w:tblPr>
        <w:tblStyle w:val="Table"/>
        <w:tblW w:type="pct" w:w="5000"/>
        <w:tblLayout w:type="fixed"/>
        <w:tblLook w:firstRow="0" w:lastRow="0" w:firstColumn="0" w:lastColumn="0" w:noHBand="0" w:noVBand="0" w:val="0000"/>
      </w:tblPr>
      <w:tblGrid>
        <w:gridCol w:w="7920"/>
      </w:tblGrid>
      <w:tr>
        <w:tc>
          <w:tcPr/>
          <w:bookmarkStart w:id="118"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8"/>
        </w:tc>
      </w:tr>
    </w:tbl>
    <w:bookmarkEnd w:id="119"/>
    <w:bookmarkStart w:id="202" w:name="alternative-assessment-software"/>
    <w:p>
      <w:pPr>
        <w:pStyle w:val="Heading1"/>
      </w:pPr>
      <w:r>
        <w:t xml:space="preserve">Alternative assessment software</w:t>
      </w:r>
    </w:p>
    <w:bookmarkStart w:id="144"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21</w:t>
        </w:r>
      </w:hyperlink>
      <w:r>
        <w:t xml:space="preserve">). These showed the impact on the uncertainty and stock trends</w:t>
      </w:r>
      <w:r>
        <w:t xml:space="preserve"> </w:t>
      </w:r>
      <w:r>
        <w:t xml:space="preserve">(</w:t>
      </w:r>
      <w:hyperlink w:anchor="fig-synts-1">
        <w:r>
          <w:rPr>
            <w:rStyle w:val="Hyperlink"/>
          </w:rPr>
          <w:t xml:space="preserve">Figure 22</w:t>
        </w:r>
      </w:hyperlink>
      <w:r>
        <w:t xml:space="preserve"> </w:t>
      </w:r>
      <w:r>
        <w:t xml:space="preserve">for SSB and</w:t>
      </w:r>
      <w:r>
        <w:t xml:space="preserve"> </w:t>
      </w:r>
      <w:hyperlink w:anchor="fig-synts-2">
        <w:r>
          <w:rPr>
            <w:rStyle w:val="Hyperlink"/>
          </w:rPr>
          <w:t xml:space="preserve">Figure 23</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23" w:name="fig-ss3"/>
          <w:p>
            <w:pPr>
              <w:pStyle w:val="Compact"/>
              <w:jc w:val="center"/>
            </w:pPr>
            <w:r>
              <w:drawing>
                <wp:inline>
                  <wp:extent cx="5334000" cy="4267200"/>
                  <wp:effectExtent b="0" l="0" r="0" t="0"/>
                  <wp:docPr descr="" title="" id="121" name="Picture"/>
                  <a:graphic>
                    <a:graphicData uri="http://schemas.openxmlformats.org/drawingml/2006/picture">
                      <pic:pic>
                        <pic:nvPicPr>
                          <pic:cNvPr descr="CIE_files/figure-docx/fig-ss3-1.png" id="122" name="Picture"/>
                          <pic:cNvPicPr>
                            <a:picLocks noChangeArrowheads="1" noChangeAspect="1"/>
                          </pic:cNvPicPr>
                        </pic:nvPicPr>
                        <pic:blipFill>
                          <a:blip r:embed="rId12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three different SS3 model configurations. The models are the base model (Base), the constrained model (Constrained), and the flexible model (Flexible).</w:t>
            </w:r>
          </w:p>
          <w:bookmarkEnd w:id="123"/>
        </w:tc>
      </w:tr>
    </w:tbl>
    <w:tbl>
      <w:tblPr>
        <w:tblStyle w:val="Table"/>
        <w:tblW w:type="pct" w:w="5000"/>
        <w:tblLayout w:type="fixed"/>
        <w:tblLook w:firstRow="0" w:lastRow="0" w:firstColumn="0" w:lastColumn="0" w:noHBand="0" w:noVBand="0" w:val="0000"/>
      </w:tblPr>
      <w:tblGrid>
        <w:gridCol w:w="7920"/>
      </w:tblGrid>
      <w:tr>
        <w:tc>
          <w:tcPr/>
          <w:bookmarkStart w:id="127" w:name="fig-synts-1"/>
          <w:p>
            <w:pPr>
              <w:pStyle w:val="Compact"/>
              <w:jc w:val="center"/>
            </w:pPr>
            <w:r>
              <w:drawing>
                <wp:inline>
                  <wp:extent cx="5334000" cy="4267200"/>
                  <wp:effectExtent b="0" l="0" r="0" t="0"/>
                  <wp:docPr descr="" title="" id="125" name="Picture"/>
                  <a:graphic>
                    <a:graphicData uri="http://schemas.openxmlformats.org/drawingml/2006/picture">
                      <pic:pic>
                        <pic:nvPicPr>
                          <pic:cNvPr descr="CIE_files/figure-docx/fig-synts-1.png" id="126" name="Picture"/>
                          <pic:cNvPicPr>
                            <a:picLocks noChangeArrowheads="1" noChangeAspect="1"/>
                          </pic:cNvPicPr>
                        </pic:nvPicPr>
                        <pic:blipFill>
                          <a:blip r:embed="rId12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7"/>
        </w:tc>
      </w:tr>
    </w:tbl>
    <w:tbl>
      <w:tblPr>
        <w:tblStyle w:val="Table"/>
        <w:tblW w:type="pct" w:w="5000"/>
        <w:tblLayout w:type="fixed"/>
        <w:tblLook w:firstRow="0" w:lastRow="0" w:firstColumn="0" w:lastColumn="0" w:noHBand="0" w:noVBand="0" w:val="0000"/>
      </w:tblPr>
      <w:tblGrid>
        <w:gridCol w:w="7920"/>
      </w:tblGrid>
      <w:tr>
        <w:tc>
          <w:tcPr/>
          <w:bookmarkStart w:id="131" w:name="fig-synts-2"/>
          <w:p>
            <w:pPr>
              <w:pStyle w:val="Compact"/>
              <w:jc w:val="center"/>
            </w:pPr>
            <w:r>
              <w:drawing>
                <wp:inline>
                  <wp:extent cx="5334000" cy="4267200"/>
                  <wp:effectExtent b="0" l="0" r="0" t="0"/>
                  <wp:docPr descr="" title="" id="129" name="Picture"/>
                  <a:graphic>
                    <a:graphicData uri="http://schemas.openxmlformats.org/drawingml/2006/picture">
                      <pic:pic>
                        <pic:nvPicPr>
                          <pic:cNvPr descr="CIE_files/figure-docx/fig-synts-2.png" id="130" name="Picture"/>
                          <pic:cNvPicPr>
                            <a:picLocks noChangeArrowheads="1" noChangeAspect="1"/>
                          </pic:cNvPicPr>
                        </pic:nvPicPr>
                        <pic:blipFill>
                          <a:blip r:embed="rId12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the time-series for three different SS3 model configurations. The models are the base model (Base), the constrained model (Constrained), and the flexible model (Flexible).</w:t>
            </w:r>
          </w:p>
          <w:bookmarkEnd w:id="131"/>
        </w:tc>
      </w:tr>
    </w:tbl>
    <w:p>
      <w:pPr>
        <w:pStyle w:val="BodyText"/>
      </w:pPr>
      <w:r>
        <w:t xml:space="preserve">Comparing the</w:t>
      </w:r>
      <w:r>
        <w:t xml:space="preserve"> </w:t>
      </w:r>
      <w:r>
        <w:t xml:space="preserve">“base”</w:t>
      </w:r>
      <w:r>
        <w:t xml:space="preserve"> </w:t>
      </w:r>
      <w:r>
        <w:t xml:space="preserve">SS3 model with the pollock model showed different patterns in the</w:t>
      </w:r>
      <w:r>
        <w:t xml:space="preserve"> </w:t>
      </w:r>
      <w:r>
        <w:t xml:space="preserve">early periods for selectivity (</w:t>
      </w:r>
      <w:hyperlink w:anchor="fig-ss3vpmsel">
        <w:r>
          <w:rPr>
            <w:rStyle w:val="Hyperlink"/>
          </w:rPr>
          <w:t xml:space="preserve">Figure 24</w:t>
        </w:r>
      </w:hyperlink>
      <w:r>
        <w:t xml:space="preserve">) but slight differences in SSB and</w:t>
      </w:r>
      <w:r>
        <w:t xml:space="preserve"> </w:t>
      </w:r>
      <w:r>
        <w:t xml:space="preserve">recruitment estimates (</w:t>
      </w:r>
      <w:hyperlink w:anchor="fig-pmvss3-1">
        <w:r>
          <w:rPr>
            <w:rStyle w:val="Hyperlink"/>
          </w:rPr>
          <w:t xml:space="preserve">Figure 25</w:t>
        </w:r>
      </w:hyperlink>
      <w:r>
        <w:t xml:space="preserve"> </w:t>
      </w:r>
      <w:r>
        <w:t xml:space="preserve">and</w:t>
      </w:r>
      <w:r>
        <w:t xml:space="preserve"> </w:t>
      </w:r>
      <w:hyperlink w:anchor="fig-pmvss3-2">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fig-ss3vpmsel"/>
          <w:p>
            <w:pPr>
              <w:pStyle w:val="Compact"/>
              <w:jc w:val="center"/>
            </w:pPr>
            <w:r>
              <w:drawing>
                <wp:inline>
                  <wp:extent cx="5334000" cy="4267200"/>
                  <wp:effectExtent b="0" l="0" r="0" t="0"/>
                  <wp:docPr descr="" title="" id="133" name="Picture"/>
                  <a:graphic>
                    <a:graphicData uri="http://schemas.openxmlformats.org/drawingml/2006/picture">
                      <pic:pic>
                        <pic:nvPicPr>
                          <pic:cNvPr descr="CIE_files/figure-docx/fig-ss3vpmsel-1.png" id="134" name="Picture"/>
                          <pic:cNvPicPr>
                            <a:picLocks noChangeArrowheads="1" noChangeAspect="1"/>
                          </pic:cNvPicPr>
                        </pic:nvPicPr>
                        <pic:blipFill>
                          <a:blip r:embed="rId13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selectivity estimates between the base SS3 model configuration and the pollock model accepted in 2024.</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pmvss3-1"/>
          <w:p>
            <w:pPr>
              <w:pStyle w:val="Compact"/>
              <w:jc w:val="center"/>
            </w:pPr>
            <w:r>
              <w:drawing>
                <wp:inline>
                  <wp:extent cx="5334000" cy="4267200"/>
                  <wp:effectExtent b="0" l="0" r="0" t="0"/>
                  <wp:docPr descr="" title="" id="137" name="Picture"/>
                  <a:graphic>
                    <a:graphicData uri="http://schemas.openxmlformats.org/drawingml/2006/picture">
                      <pic:pic>
                        <pic:nvPicPr>
                          <pic:cNvPr descr="CIE_files/figure-docx/fig-pmvss3-1.png" id="138" name="Picture"/>
                          <pic:cNvPicPr>
                            <a:picLocks noChangeArrowheads="1" noChangeAspect="1"/>
                          </pic:cNvPicPr>
                        </pic:nvPicPr>
                        <pic:blipFill>
                          <a:blip r:embed="rId1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pmvss3-2"/>
          <w:p>
            <w:pPr>
              <w:pStyle w:val="Compact"/>
              <w:jc w:val="center"/>
            </w:pPr>
            <w:r>
              <w:drawing>
                <wp:inline>
                  <wp:extent cx="5334000" cy="4267200"/>
                  <wp:effectExtent b="0" l="0" r="0" t="0"/>
                  <wp:docPr descr="" title="" id="141" name="Picture"/>
                  <a:graphic>
                    <a:graphicData uri="http://schemas.openxmlformats.org/drawingml/2006/picture">
                      <pic:pic>
                        <pic:nvPicPr>
                          <pic:cNvPr descr="CIE_files/figure-docx/fig-pmvss3-2.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the base SS3 model configuration with the model used for pollock in 2024.</w:t>
            </w:r>
          </w:p>
          <w:bookmarkEnd w:id="143"/>
        </w:tc>
      </w:tr>
    </w:tbl>
    <w:bookmarkEnd w:id="144"/>
    <w:bookmarkStart w:id="170"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45">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9" w:name="fig-sam"/>
          <w:p>
            <w:pPr>
              <w:pStyle w:val="Compact"/>
              <w:jc w:val="center"/>
            </w:pPr>
            <w:r>
              <w:drawing>
                <wp:inline>
                  <wp:extent cx="5334000" cy="4267200"/>
                  <wp:effectExtent b="0" l="0" r="0" t="0"/>
                  <wp:docPr descr="" title="" id="147" name="Picture"/>
                  <a:graphic>
                    <a:graphicData uri="http://schemas.openxmlformats.org/drawingml/2006/picture">
                      <pic:pic>
                        <pic:nvPicPr>
                          <pic:cNvPr descr="CIE_files/figure-docx/fig-sam-1.png" id="148" name="Picture"/>
                          <pic:cNvPicPr>
                            <a:picLocks noChangeArrowheads="1" noChangeAspect="1"/>
                          </pic:cNvPicPr>
                        </pic:nvPicPr>
                        <pic:blipFill>
                          <a:blip r:embed="rId14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w:t>
            </w:r>
          </w:p>
          <w:bookmarkEnd w:id="149"/>
        </w:tc>
      </w:tr>
    </w:tbl>
    <w:p>
      <w:pPr>
        <w:pStyle w:val="BodyText"/>
      </w:pPr>
      <w:r>
        <w:t xml:space="preserve">The spawning biomass trend largely overlaps in the uncertainty between the SAM and pollock</w:t>
      </w:r>
      <w:r>
        <w:t xml:space="preserve"> </w:t>
      </w:r>
      <w:r>
        <w:t xml:space="preserve">model (</w:t>
      </w:r>
      <w:hyperlink w:anchor="fig-samts-1">
        <w:r>
          <w:rPr>
            <w:rStyle w:val="Hyperlink"/>
          </w:rPr>
          <w:t xml:space="preserve">Figure 28</w:t>
        </w:r>
      </w:hyperlink>
      <w:r>
        <w:t xml:space="preserve">). The recruitment estimates are similar as well (</w:t>
      </w:r>
      <w:hyperlink w:anchor="fig-samts-2">
        <w:r>
          <w:rPr>
            <w:rStyle w:val="Hyperlink"/>
          </w:rPr>
          <w:t xml:space="preserve">Figure 29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3" w:name="fig-samts-1"/>
          <w:p>
            <w:pPr>
              <w:pStyle w:val="Compact"/>
              <w:jc w:val="center"/>
            </w:pPr>
            <w:r>
              <w:drawing>
                <wp:inline>
                  <wp:extent cx="5334000" cy="4267200"/>
                  <wp:effectExtent b="0" l="0" r="0" t="0"/>
                  <wp:docPr descr="" title="" id="151" name="Picture"/>
                  <a:graphic>
                    <a:graphicData uri="http://schemas.openxmlformats.org/drawingml/2006/picture">
                      <pic:pic>
                        <pic:nvPicPr>
                          <pic:cNvPr descr="CIE_files/figure-docx/fig-samts-1.png" id="152" name="Picture"/>
                          <pic:cNvPicPr>
                            <a:picLocks noChangeArrowheads="1" noChangeAspect="1"/>
                          </pic:cNvPicPr>
                        </pic:nvPicPr>
                        <pic:blipFill>
                          <a:blip r:embed="rId15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3"/>
        </w:tc>
      </w:tr>
    </w:tbl>
    <w:tbl>
      <w:tblPr>
        <w:tblStyle w:val="Table"/>
        <w:tblW w:type="pct" w:w="5000"/>
        <w:tblLayout w:type="fixed"/>
        <w:tblLook w:firstRow="0" w:lastRow="0" w:firstColumn="0" w:lastColumn="0" w:noHBand="0" w:noVBand="0" w:val="0000"/>
      </w:tblPr>
      <w:tblGrid>
        <w:gridCol w:w="7920"/>
      </w:tblGrid>
      <w:tr>
        <w:tc>
          <w:tcPr/>
          <w:bookmarkStart w:id="157" w:name="fig-samts-2"/>
          <w:p>
            <w:pPr>
              <w:pStyle w:val="Compact"/>
              <w:jc w:val="center"/>
            </w:pPr>
            <w:r>
              <w:drawing>
                <wp:inline>
                  <wp:extent cx="5334000" cy="4267200"/>
                  <wp:effectExtent b="0" l="0" r="0" t="0"/>
                  <wp:docPr descr="" title="" id="155" name="Picture"/>
                  <a:graphic>
                    <a:graphicData uri="http://schemas.openxmlformats.org/drawingml/2006/picture">
                      <pic:pic>
                        <pic:nvPicPr>
                          <pic:cNvPr descr="CIE_files/figure-docx/fig-samts-2.png" id="156" name="Picture"/>
                          <pic:cNvPicPr>
                            <a:picLocks noChangeArrowheads="1" noChangeAspect="1"/>
                          </pic:cNvPicPr>
                        </pic:nvPicPr>
                        <pic:blipFill>
                          <a:blip r:embed="rId15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SAM model for spawning biomass (top) and recruitment at age 1 (bottom).</w:t>
            </w:r>
          </w:p>
          <w:bookmarkEnd w:id="157"/>
        </w:tc>
      </w:tr>
    </w:tbl>
    <w:tbl>
      <w:tblPr>
        <w:tblStyle w:val="Table"/>
        <w:tblW w:type="pct" w:w="5000"/>
        <w:tblLayout w:type="fixed"/>
        <w:tblLook w:firstRow="0" w:lastRow="0" w:firstColumn="0" w:lastColumn="0" w:noHBand="0" w:noVBand="0" w:val="0000"/>
      </w:tblPr>
      <w:tblGrid>
        <w:gridCol w:w="7920"/>
      </w:tblGrid>
      <w:tr>
        <w:tc>
          <w:tcPr/>
          <w:bookmarkStart w:id="161" w:name="fig-samts-3"/>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amts-3.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SAM model for spawning biomass (top) and recruitment at age 1 (bottom).</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amts-4"/>
          <w:p>
            <w:pPr>
              <w:pStyle w:val="Compact"/>
              <w:jc w:val="center"/>
            </w:pPr>
            <w:r>
              <w:drawing>
                <wp:inline>
                  <wp:extent cx="5334000" cy="4267200"/>
                  <wp:effectExtent b="0" l="0" r="0" t="0"/>
                  <wp:docPr descr="" title="" id="163" name="Picture"/>
                  <a:graphic>
                    <a:graphicData uri="http://schemas.openxmlformats.org/drawingml/2006/picture">
                      <pic:pic>
                        <pic:nvPicPr>
                          <pic:cNvPr descr="CIE_files/figure-docx/fig-samts-4.png" id="164" name="Picture"/>
                          <pic:cNvPicPr>
                            <a:picLocks noChangeArrowheads="1" noChangeAspect="1"/>
                          </pic:cNvPicPr>
                        </pic:nvPicPr>
                        <pic:blipFill>
                          <a:blip r:embed="rId1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SAM model for spawning biomass (top) and recruitment at age 1 (bottom).</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amts-5"/>
          <w:p>
            <w:pPr>
              <w:pStyle w:val="Compact"/>
              <w:jc w:val="center"/>
            </w:pPr>
            <w:r>
              <w:drawing>
                <wp:inline>
                  <wp:extent cx="5334000" cy="4267200"/>
                  <wp:effectExtent b="0" l="0" r="0" t="0"/>
                  <wp:docPr descr="" title="" id="167" name="Picture"/>
                  <a:graphic>
                    <a:graphicData uri="http://schemas.openxmlformats.org/drawingml/2006/picture">
                      <pic:pic>
                        <pic:nvPicPr>
                          <pic:cNvPr descr="CIE_files/figure-docx/fig-samts-5.png" id="168" name="Picture"/>
                          <pic:cNvPicPr>
                            <a:picLocks noChangeArrowheads="1" noChangeAspect="1"/>
                          </pic:cNvPicPr>
                        </pic:nvPicPr>
                        <pic:blipFill>
                          <a:blip r:embed="rId16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SAM model for spawning biomass (top) and recruitment at age 1 (bottom).</w:t>
            </w:r>
          </w:p>
          <w:bookmarkEnd w:id="169"/>
        </w:tc>
      </w:tr>
    </w:tbl>
    <w:bookmarkEnd w:id="170"/>
    <w:bookmarkStart w:id="184"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71">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75" w:name="fig-all"/>
          <w:p>
            <w:pPr>
              <w:pStyle w:val="Compact"/>
              <w:jc w:val="center"/>
            </w:pPr>
            <w:r>
              <w:drawing>
                <wp:inline>
                  <wp:extent cx="5334000" cy="4267200"/>
                  <wp:effectExtent b="0" l="0" r="0" t="0"/>
                  <wp:docPr descr="" title="" id="173" name="Picture"/>
                  <a:graphic>
                    <a:graphicData uri="http://schemas.openxmlformats.org/drawingml/2006/picture">
                      <pic:pic>
                        <pic:nvPicPr>
                          <pic:cNvPr descr="CIE_files/figure-docx/fig-all-1.png" id="174" name="Picture"/>
                          <pic:cNvPicPr>
                            <a:picLocks noChangeArrowheads="1" noChangeAspect="1"/>
                          </pic:cNvPicPr>
                        </pic:nvPicPr>
                        <pic:blipFill>
                          <a:blip r:embed="rId1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Rceattle model.</w:t>
            </w:r>
          </w:p>
          <w:bookmarkEnd w:id="175"/>
        </w:tc>
      </w:tr>
    </w:tbl>
    <w:tbl>
      <w:tblPr>
        <w:tblStyle w:val="Table"/>
        <w:tblW w:type="pct" w:w="5000"/>
        <w:tblLayout w:type="fixed"/>
        <w:tblLook w:firstRow="0" w:lastRow="0" w:firstColumn="0" w:lastColumn="0" w:noHBand="0" w:noVBand="0" w:val="0000"/>
      </w:tblPr>
      <w:tblGrid>
        <w:gridCol w:w="7920"/>
      </w:tblGrid>
      <w:tr>
        <w:tc>
          <w:tcPr/>
          <w:bookmarkStart w:id="179" w:name="fig-all_ts-1"/>
          <w:p>
            <w:pPr>
              <w:pStyle w:val="Compact"/>
              <w:jc w:val="center"/>
            </w:pPr>
            <w:r>
              <w:drawing>
                <wp:inline>
                  <wp:extent cx="5334000" cy="4267200"/>
                  <wp:effectExtent b="0" l="0" r="0" t="0"/>
                  <wp:docPr descr="" title="" id="177" name="Picture"/>
                  <a:graphic>
                    <a:graphicData uri="http://schemas.openxmlformats.org/drawingml/2006/picture">
                      <pic:pic>
                        <pic:nvPicPr>
                          <pic:cNvPr descr="CIE_files/figure-docx/fig-all_ts-1.png" id="178" name="Picture"/>
                          <pic:cNvPicPr>
                            <a:picLocks noChangeArrowheads="1" noChangeAspect="1"/>
                          </pic:cNvPicPr>
                        </pic:nvPicPr>
                        <pic:blipFill>
                          <a:blip r:embed="rId1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Rceattle model.</w:t>
            </w:r>
          </w:p>
          <w:bookmarkEnd w:id="179"/>
        </w:tc>
      </w:tr>
    </w:tbl>
    <w:tbl>
      <w:tblPr>
        <w:tblStyle w:val="Table"/>
        <w:tblW w:type="pct" w:w="5000"/>
        <w:tblLayout w:type="fixed"/>
        <w:tblLook w:firstRow="0" w:lastRow="0" w:firstColumn="0" w:lastColumn="0" w:noHBand="0" w:noVBand="0" w:val="0000"/>
      </w:tblPr>
      <w:tblGrid>
        <w:gridCol w:w="7920"/>
      </w:tblGrid>
      <w:tr>
        <w:tc>
          <w:tcPr/>
          <w:bookmarkStart w:id="183" w:name="fig-all_ts-2"/>
          <w:p>
            <w:pPr>
              <w:pStyle w:val="Compact"/>
              <w:jc w:val="center"/>
            </w:pPr>
            <w:r>
              <w:drawing>
                <wp:inline>
                  <wp:extent cx="5334000" cy="4267200"/>
                  <wp:effectExtent b="0" l="0" r="0" t="0"/>
                  <wp:docPr descr="" title="" id="181" name="Picture"/>
                  <a:graphic>
                    <a:graphicData uri="http://schemas.openxmlformats.org/drawingml/2006/picture">
                      <pic:pic>
                        <pic:nvPicPr>
                          <pic:cNvPr descr="CIE_files/figure-docx/fig-all_ts-2.png" id="182" name="Picture"/>
                          <pic:cNvPicPr>
                            <a:picLocks noChangeArrowheads="1" noChangeAspect="1"/>
                          </pic:cNvPicPr>
                        </pic:nvPicPr>
                        <pic:blipFill>
                          <a:blip r:embed="rId18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Rceattle model.</w:t>
            </w:r>
          </w:p>
          <w:bookmarkEnd w:id="183"/>
        </w:tc>
      </w:tr>
    </w:tbl>
    <w:bookmarkEnd w:id="184"/>
    <w:bookmarkStart w:id="201"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r>
        <w:rPr>
          <w:b/>
          <w:bCs/>
        </w:rPr>
        <w:t xml:space="preserve">?@fig-spock_sel</w:t>
      </w:r>
      <w:r>
        <w:t xml:space="preserve"> </w:t>
      </w:r>
      <w:r>
        <w:t xml:space="preserve">shows the model results comparing time-varying selectivity whereas</w:t>
      </w:r>
      <w:r>
        <w:t xml:space="preserve"> </w:t>
      </w:r>
      <w:hyperlink w:anchor="fig-spock_ts-1">
        <w:r>
          <w:rPr>
            <w:rStyle w:val="Hyperlink"/>
          </w:rPr>
          <w:t xml:space="preserve">Figure 38</w:t>
        </w:r>
      </w:hyperlink>
      <w:r>
        <w:t xml:space="preserve"> </w:t>
      </w:r>
      <w:r>
        <w:t xml:space="preserve">shows the model results time series. The difference in the age-1 recruits</w:t>
      </w:r>
      <w:r>
        <w:t xml:space="preserve"> </w:t>
      </w:r>
      <w:r>
        <w:t xml:space="preserve">(</w:t>
      </w:r>
      <w:hyperlink w:anchor="fig-spock_ts-2">
        <w:r>
          <w:rPr>
            <w:rStyle w:val="Hyperlink"/>
          </w:rPr>
          <w:t xml:space="preserve">Figure 39</w:t>
        </w:r>
      </w:hyperlink>
      <w:r>
        <w:t xml:space="preserve">) is likely due to the fact that the spatial model currently has constant</w:t>
      </w:r>
      <w:r>
        <w:t xml:space="preserve"> </w:t>
      </w:r>
      <w:r>
        <w:t xml:space="preserve">M-at-age compared to the base model.</w:t>
      </w:r>
    </w:p>
    <w:tbl>
      <w:tblPr>
        <w:tblStyle w:val="Table"/>
        <w:tblW w:type="pct" w:w="5000"/>
        <w:tblLayout w:type="fixed"/>
        <w:tblLook w:firstRow="0" w:lastRow="0" w:firstColumn="0" w:lastColumn="0" w:noHBand="0" w:noVBand="0" w:val="0000"/>
      </w:tblPr>
      <w:tblGrid>
        <w:gridCol w:w="7920"/>
      </w:tblGrid>
      <w:tr>
        <w:tc>
          <w:tcPr/>
          <w:bookmarkStart w:id="188" w:name="fig-spock_sel-1"/>
          <w:p>
            <w:pPr>
              <w:pStyle w:val="Compact"/>
              <w:jc w:val="center"/>
            </w:pPr>
            <w:r>
              <w:drawing>
                <wp:inline>
                  <wp:extent cx="5334000" cy="4267200"/>
                  <wp:effectExtent b="0" l="0" r="0" t="0"/>
                  <wp:docPr descr="" title="" id="186" name="Picture"/>
                  <a:graphic>
                    <a:graphicData uri="http://schemas.openxmlformats.org/drawingml/2006/picture">
                      <pic:pic>
                        <pic:nvPicPr>
                          <pic:cNvPr descr="CIE_files/figure-docx/fig-spock_sel-1.png" id="187" name="Picture"/>
                          <pic:cNvPicPr>
                            <a:picLocks noChangeArrowheads="1" noChangeAspect="1"/>
                          </pic:cNvPicPr>
                        </pic:nvPicPr>
                        <pic:blipFill>
                          <a:blip r:embed="rId18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SPock model.</w:t>
            </w:r>
          </w:p>
          <w:bookmarkEnd w:id="188"/>
        </w:tc>
      </w:tr>
    </w:tbl>
    <w:tbl>
      <w:tblPr>
        <w:tblStyle w:val="Table"/>
        <w:tblW w:type="pct" w:w="5000"/>
        <w:tblLayout w:type="fixed"/>
        <w:tblLook w:firstRow="0" w:lastRow="0" w:firstColumn="0" w:lastColumn="0" w:noHBand="0" w:noVBand="0" w:val="0000"/>
      </w:tblPr>
      <w:tblGrid>
        <w:gridCol w:w="7920"/>
      </w:tblGrid>
      <w:tr>
        <w:tc>
          <w:tcPr/>
          <w:bookmarkStart w:id="192" w:name="fig-spock_sel-2"/>
          <w:p>
            <w:pPr>
              <w:pStyle w:val="Compact"/>
              <w:jc w:val="center"/>
            </w:pPr>
            <w:r>
              <w:drawing>
                <wp:inline>
                  <wp:extent cx="5334000" cy="4267200"/>
                  <wp:effectExtent b="0" l="0" r="0" t="0"/>
                  <wp:docPr descr="" title="" id="190" name="Picture"/>
                  <a:graphic>
                    <a:graphicData uri="http://schemas.openxmlformats.org/drawingml/2006/picture">
                      <pic:pic>
                        <pic:nvPicPr>
                          <pic:cNvPr descr="CIE_files/figure-docx/fig-spock_sel-2.png" id="191" name="Picture"/>
                          <pic:cNvPicPr>
                            <a:picLocks noChangeArrowheads="1" noChangeAspect="1"/>
                          </pic:cNvPicPr>
                        </pic:nvPicPr>
                        <pic:blipFill>
                          <a:blip r:embed="rId18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Model results comparing last year’s model with the SPock model.</w:t>
            </w:r>
          </w:p>
          <w:bookmarkEnd w:id="192"/>
        </w:tc>
      </w:tr>
    </w:tbl>
    <w:tbl>
      <w:tblPr>
        <w:tblStyle w:val="Table"/>
        <w:tblW w:type="pct" w:w="5000"/>
        <w:tblLayout w:type="fixed"/>
        <w:tblLook w:firstRow="0" w:lastRow="0" w:firstColumn="0" w:lastColumn="0" w:noHBand="0" w:noVBand="0" w:val="0000"/>
      </w:tblPr>
      <w:tblGrid>
        <w:gridCol w:w="7920"/>
      </w:tblGrid>
      <w:tr>
        <w:tc>
          <w:tcPr/>
          <w:bookmarkStart w:id="196" w:name="fig-spock_ts-1"/>
          <w:p>
            <w:pPr>
              <w:pStyle w:val="Compact"/>
              <w:jc w:val="center"/>
            </w:pPr>
            <w:r>
              <w:drawing>
                <wp:inline>
                  <wp:extent cx="5334000" cy="2667000"/>
                  <wp:effectExtent b="0" l="0" r="0" t="0"/>
                  <wp:docPr descr="" title="" id="194" name="Picture"/>
                  <a:graphic>
                    <a:graphicData uri="http://schemas.openxmlformats.org/drawingml/2006/picture">
                      <pic:pic>
                        <pic:nvPicPr>
                          <pic:cNvPr descr="CIE_files/figure-docx/fig-spock_ts-1.png" id="195" name="Picture"/>
                          <pic:cNvPicPr>
                            <a:picLocks noChangeArrowheads="1" noChangeAspect="1"/>
                          </pic:cNvPicPr>
                        </pic:nvPicPr>
                        <pic:blipFill>
                          <a:blip r:embed="rId19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Model results comparing last year’s model with the SPock model.</w:t>
            </w:r>
          </w:p>
          <w:bookmarkEnd w:id="196"/>
        </w:tc>
      </w:tr>
    </w:tbl>
    <w:tbl>
      <w:tblPr>
        <w:tblStyle w:val="Table"/>
        <w:tblW w:type="pct" w:w="5000"/>
        <w:tblLayout w:type="fixed"/>
        <w:tblLook w:firstRow="0" w:lastRow="0" w:firstColumn="0" w:lastColumn="0" w:noHBand="0" w:noVBand="0" w:val="0000"/>
      </w:tblPr>
      <w:tblGrid>
        <w:gridCol w:w="7920"/>
      </w:tblGrid>
      <w:tr>
        <w:tc>
          <w:tcPr/>
          <w:bookmarkStart w:id="200" w:name="fig-spock_ts-2"/>
          <w:p>
            <w:pPr>
              <w:pStyle w:val="Compact"/>
              <w:jc w:val="center"/>
            </w:pPr>
            <w:r>
              <w:drawing>
                <wp:inline>
                  <wp:extent cx="5334000" cy="2667000"/>
                  <wp:effectExtent b="0" l="0" r="0" t="0"/>
                  <wp:docPr descr="" title="" id="198" name="Picture"/>
                  <a:graphic>
                    <a:graphicData uri="http://schemas.openxmlformats.org/drawingml/2006/picture">
                      <pic:pic>
                        <pic:nvPicPr>
                          <pic:cNvPr descr="CIE_files/figure-docx/fig-spock_ts-2.png" id="199" name="Picture"/>
                          <pic:cNvPicPr>
                            <a:picLocks noChangeArrowheads="1" noChangeAspect="1"/>
                          </pic:cNvPicPr>
                        </pic:nvPicPr>
                        <pic:blipFill>
                          <a:blip r:embed="rId19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39: Model results comparing last year’s model with the SPock model.</w:t>
            </w:r>
          </w:p>
          <w:bookmarkEnd w:id="200"/>
        </w:tc>
      </w:tr>
    </w:tbl>
    <w:bookmarkEnd w:id="201"/>
    <w:bookmarkEnd w:id="202"/>
    <w:bookmarkStart w:id="213" w:name="X2ca98e5c32d63d527c2188348bd8baaabbd45e2"/>
    <w:p>
      <w:pPr>
        <w:pStyle w:val="Heading1"/>
      </w:pPr>
      <w:r>
        <w:t xml:space="preserve">Bottom-trawl survey spatial distribution modeling</w:t>
      </w:r>
    </w:p>
    <w:bookmarkStart w:id="207"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 Results compared favorably among methods, and the</w:t>
      </w:r>
      <w:r>
        <w:t xml:space="preserve"> </w:t>
      </w:r>
      <w:r>
        <w:t xml:space="preserve">model index result was very similar to previous estimates (</w:t>
      </w:r>
      <w:hyperlink w:anchor="fig-sdm_index">
        <w:r>
          <w:rPr>
            <w:rStyle w:val="Hyperlink"/>
          </w:rPr>
          <w:t xml:space="preserve">Figure 40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fig-sdm_index"/>
          <w:p>
            <w:pPr>
              <w:pStyle w:val="Compact"/>
              <w:jc w:val="center"/>
            </w:pPr>
            <w:r>
              <w:drawing>
                <wp:inline>
                  <wp:extent cx="5334000" cy="3578794"/>
                  <wp:effectExtent b="0" l="0" r="0" t="0"/>
                  <wp:docPr descr="" title="" id="204" name="Picture"/>
                  <a:graphic>
                    <a:graphicData uri="http://schemas.openxmlformats.org/drawingml/2006/picture">
                      <pic:pic>
                        <pic:nvPicPr>
                          <pic:cNvPr descr="figs/Vast_index_updated.png" id="205" name="Picture"/>
                          <pic:cNvPicPr>
                            <a:picLocks noChangeArrowheads="1" noChangeAspect="1"/>
                          </pic:cNvPicPr>
                        </pic:nvPicPr>
                        <pic:blipFill>
                          <a:blip r:embed="rId203"/>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40: Model results comparing last year’s model with the revised sdmTMB model.</w:t>
            </w:r>
          </w:p>
          <w:bookmarkEnd w:id="206"/>
        </w:tc>
      </w:tr>
    </w:tbl>
    <w:bookmarkEnd w:id="207"/>
    <w:bookmarkStart w:id="212"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41</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211" w:name="fig-sdm_age"/>
          <w:p>
            <w:pPr>
              <w:pStyle w:val="Compact"/>
              <w:jc w:val="center"/>
            </w:pPr>
            <w:r>
              <w:drawing>
                <wp:inline>
                  <wp:extent cx="5334000" cy="4798793"/>
                  <wp:effectExtent b="0" l="0" r="0" t="0"/>
                  <wp:docPr descr="" title="" id="209" name="Picture"/>
                  <a:graphic>
                    <a:graphicData uri="http://schemas.openxmlformats.org/drawingml/2006/picture">
                      <pic:pic>
                        <pic:nvPicPr>
                          <pic:cNvPr descr="figs/VAST_Age_Compare.png" id="210" name="Picture"/>
                          <pic:cNvPicPr>
                            <a:picLocks noChangeArrowheads="1" noChangeAspect="1"/>
                          </pic:cNvPicPr>
                        </pic:nvPicPr>
                        <pic:blipFill>
                          <a:blip r:embed="rId208"/>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Model results comparing last year’s model with the revised sdmTMB model.</w:t>
            </w:r>
          </w:p>
          <w:bookmarkEnd w:id="211"/>
        </w:tc>
      </w:tr>
    </w:tbl>
    <w:bookmarkEnd w:id="212"/>
    <w:bookmarkEnd w:id="213"/>
    <w:bookmarkStart w:id="223" w:name="pollock-model-fishery-selectivity-notes"/>
    <w:p>
      <w:pPr>
        <w:pStyle w:val="Heading1"/>
      </w:pPr>
      <w:r>
        <w:t xml:space="preserve">Pollock model fishery selectivity notes</w:t>
      </w:r>
    </w:p>
    <w:p>
      <w:pPr>
        <w:pStyle w:val="FirstParagraph"/>
      </w:pPr>
      <w:r>
        <w:t xml:space="preserve">The following provides more detail based on the actual code as adopted from</w:t>
      </w:r>
      <w:r>
        <w:t xml:space="preserve"> </w:t>
      </w:r>
      <w:r>
        <w:t xml:space="preserve">Butterworth, Ianelli, and Hilborn (2003)</w:t>
      </w:r>
      <w:r>
        <w:t xml:space="preserve">.</w:t>
      </w:r>
    </w:p>
    <w:bookmarkStart w:id="217" w:name="initial-setup"/>
    <w:p>
      <w:pPr>
        <w:pStyle w:val="Heading2"/>
      </w:pPr>
      <w:r>
        <w:t xml:space="preserve">Initial Setup</w:t>
      </w:r>
    </w:p>
    <w:bookmarkStart w:id="214" w:name="average-selectivity"/>
    <w:p>
      <w:pPr>
        <w:pStyle w:val="Heading3"/>
      </w:pPr>
      <w:r>
        <w:t xml:space="preserve">Average Selectivity</w:t>
      </w:r>
    </w:p>
    <w:p>
      <w:pPr>
        <w:pStyle w:val="FirstParagraph"/>
      </w:pPr>
      <m:oMathPara>
        <m:oMathParaPr>
          <m:jc m:val="center"/>
        </m:oMathParaPr>
        <m:oMath>
          <m:bar>
            <m:barPr>
              <m:pos m:val="top"/>
            </m:barPr>
            <m:e>
              <m:r>
                <m:t>s</m:t>
              </m:r>
              <m:r>
                <m:t>e</m:t>
              </m:r>
              <m:r>
                <m:t>l</m:t>
              </m:r>
            </m:e>
          </m:bar>
          <m:r>
            <m:rPr>
              <m:sty m:val="p"/>
            </m:rPr>
            <m:t>=</m:t>
          </m:r>
          <m:r>
            <m:rPr>
              <m:sty m:val="p"/>
            </m:rPr>
            <m:t>log</m:t>
          </m:r>
          <m:d>
            <m:dPr>
              <m:begChr m:val="("/>
              <m:sepChr m:val=""/>
              <m:endChr m:val=")"/>
              <m:grow/>
            </m:dPr>
            <m:e>
              <m:r>
                <m:rPr>
                  <m:nor/>
                  <m:sty m:val="p"/>
                </m:rPr>
                <m:t>mean</m:t>
              </m:r>
              <m:d>
                <m:dPr>
                  <m:begChr m:val="("/>
                  <m:sepChr m:val=""/>
                  <m:endChr m:val=")"/>
                  <m:grow/>
                </m:dPr>
                <m:e>
                  <m:r>
                    <m:rPr>
                      <m:sty m:val="p"/>
                    </m:rPr>
                    <m:t>exp</m:t>
                  </m:r>
                  <m:d>
                    <m:dPr>
                      <m:begChr m:val="("/>
                      <m:sepChr m:val=""/>
                      <m:endChr m:val=")"/>
                      <m:grow/>
                    </m:dPr>
                    <m:e>
                      <m:r>
                        <m:rPr>
                          <m:sty m:val="b"/>
                        </m:rPr>
                        <m:t>c</m:t>
                      </m:r>
                    </m:e>
                  </m:d>
                </m:e>
              </m:d>
            </m:e>
          </m:d>
        </m:oMath>
      </m:oMathPara>
    </w:p>
    <w:p>
      <w:pPr>
        <w:pStyle w:val="FirstParagraph"/>
      </w:pPr>
      <w:r>
        <w:t xml:space="preserve">where</w:t>
      </w:r>
      <w:r>
        <w:t xml:space="preserve"> </w:t>
      </w:r>
      <m:oMath>
        <m:r>
          <m:rPr>
            <m:sty m:val="b"/>
          </m:rPr>
          <m:t>c</m:t>
        </m:r>
      </m:oMath>
      <w:r>
        <w:t xml:space="preserve"> </w:t>
      </w:r>
      <w:r>
        <w:t xml:space="preserve">is the vector of base selectivity coefficients.</w:t>
      </w:r>
    </w:p>
    <w:bookmarkEnd w:id="214"/>
    <w:bookmarkStart w:id="215" w:name="base-year-selectivity-t-stsel"/>
    <w:p>
      <w:pPr>
        <w:pStyle w:val="Heading3"/>
      </w:pPr>
      <w:r>
        <w:t xml:space="preserve">Base Year Selectivity (t = stsel)</w:t>
      </w:r>
    </w:p>
    <w:p>
      <w:pPr>
        <w:pStyle w:val="FirstParagraph"/>
      </w:pPr>
      <w:r>
        <w:t xml:space="preserve">For 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t xml:space="preserve">For older ages (plateau assumption):</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n</m:t>
              </m:r>
              <m:r>
                <m:t>s</m:t>
              </m:r>
              <m:r>
                <m:t>e</m:t>
              </m:r>
              <m:r>
                <m:t>l</m:t>
              </m:r>
            </m:sub>
          </m:sSub>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bookmarkEnd w:id="215"/>
    <w:bookmarkStart w:id="216" w:name="initial-normalization"/>
    <w:p>
      <w:pPr>
        <w:pStyle w:val="Heading3"/>
      </w:pPr>
      <w:r>
        <w:t xml:space="preserve">Initial Normalization</w:t>
      </w:r>
    </w:p>
    <w:p>
      <w:pPr>
        <w:pStyle w:val="FirstParagraph"/>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This ensures:</w:t>
      </w:r>
      <w:r>
        <w:t xml:space="preserve"> </w:t>
      </w: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oMath>
    </w:p>
    <w:bookmarkEnd w:id="216"/>
    <w:bookmarkEnd w:id="217"/>
    <w:bookmarkStart w:id="220" w:name="time-varying-component"/>
    <w:p>
      <w:pPr>
        <w:pStyle w:val="Heading2"/>
      </w:pPr>
      <w:r>
        <w:t xml:space="preserve">Time-Varying Component</w:t>
      </w:r>
    </w:p>
    <w:bookmarkStart w:id="218" w:name="selectivity-evolution-t-stsel"/>
    <w:p>
      <w:pPr>
        <w:pStyle w:val="Heading3"/>
      </w:pPr>
      <w:r>
        <w:t xml:space="preserve">Selectivity Evolution (t &gt; stsel)</w:t>
      </w:r>
    </w:p>
    <w:p>
      <w:pPr>
        <w:pStyle w:val="FirstParagraph"/>
      </w:pPr>
      <w:r>
        <w:t xml:space="preserve">For years without regime changes:</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t> </m:t>
          </m:r>
          <m:r>
            <m:rPr>
              <m:nor/>
              <m:sty m:val="p"/>
            </m:rPr>
            <m:t>for all ages</m:t>
          </m:r>
        </m:oMath>
      </m:oMathPara>
    </w:p>
    <w:p>
      <w:pPr>
        <w:pStyle w:val="FirstParagraph"/>
      </w:pPr>
      <w:r>
        <w:t xml:space="preserve">For years with regime changes (when</w:t>
      </w:r>
      <w:r>
        <w:t xml:space="preserve"> </w:t>
      </w:r>
      <m:oMath>
        <m:r>
          <m:t>t</m:t>
        </m:r>
        <m:r>
          <m:rPr>
            <m:sty m:val="p"/>
          </m:rPr>
          <m:t>+</m:t>
        </m:r>
        <m:r>
          <m:t>1</m:t>
        </m:r>
        <m:r>
          <m:rPr>
            <m:sty m:val="p"/>
          </m:rPr>
          <m:t>∈</m:t>
        </m:r>
        <m:r>
          <m:rPr>
            <m:nor/>
            <m:sty m:val="p"/>
          </m:rPr>
          <m:t>yrs_ch_fsh</m:t>
        </m:r>
      </m:oMath>
      <w:r>
        <w:t xml:space="preserve">):</w:t>
      </w:r>
    </w:p>
    <w:p>
      <w:pPr>
        <w:pStyle w:val="BodyText"/>
      </w:pPr>
      <w:r>
        <w:rPr>
          <w:b/>
          <w:bCs/>
        </w:rPr>
        <w:t xml:space="preserve">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sSub>
            <m:e>
              <m:r>
                <m:t>δ</m:t>
              </m:r>
            </m:e>
            <m:sub>
              <m:r>
                <m:t>i</m:t>
              </m:r>
              <m:r>
                <m:t>i</m:t>
              </m:r>
              <m:r>
                <m:rPr>
                  <m:sty m:val="p"/>
                </m:rPr>
                <m:t>,</m:t>
              </m:r>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rPr>
          <w:b/>
          <w:bCs/>
        </w:rPr>
        <w:t xml:space="preserve">Older ages (plateau maintained):</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1</m:t>
                  </m:r>
                  <m:r>
                    <m:rPr>
                      <m:sty m:val="p"/>
                    </m:rPr>
                    <m:t>,</m:t>
                  </m:r>
                  <m:r>
                    <m:t>n</m:t>
                  </m:r>
                  <m:r>
                    <m:t>s</m:t>
                  </m:r>
                  <m:r>
                    <m:t>e</m:t>
                  </m:r>
                  <m:r>
                    <m:t>l</m:t>
                  </m:r>
                </m:sub>
              </m:sSub>
            </m:e>
          </m:d>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p>
      <w:pPr>
        <w:pStyle w:val="FirstParagraph"/>
      </w:pPr>
      <w:r>
        <w:t xml:space="preserve">where:</w:t>
      </w:r>
      <w:r>
        <w:t xml:space="preserve"> </w:t>
      </w:r>
      <w:r>
        <w:t xml:space="preserve">-</w:t>
      </w:r>
      <w:r>
        <w:t xml:space="preserve"> </w:t>
      </w:r>
      <m:oMath>
        <m:sSub>
          <m:e>
            <m:r>
              <m:t>δ</m:t>
            </m:r>
          </m:e>
          <m:sub>
            <m:r>
              <m:t>i</m:t>
            </m:r>
            <m:r>
              <m:t>i</m:t>
            </m:r>
            <m:r>
              <m:rPr>
                <m:sty m:val="p"/>
              </m:rPr>
              <m:t>,</m:t>
            </m:r>
            <m:r>
              <m:t>a</m:t>
            </m:r>
          </m:sub>
        </m:sSub>
      </m:oMath>
      <w:r>
        <w:t xml:space="preserve"> </w:t>
      </w:r>
      <w:r>
        <w:t xml:space="preserve">is the selectivity deviation for change event</w:t>
      </w:r>
      <w:r>
        <w:t xml:space="preserve"> </w:t>
      </w:r>
      <m:oMath>
        <m:r>
          <m:t>i</m:t>
        </m:r>
        <m:r>
          <m:t>i</m:t>
        </m:r>
      </m:oMath>
      <w:r>
        <w:t xml:space="preserve"> </w:t>
      </w:r>
      <w:r>
        <w:t xml:space="preserve">and age</w:t>
      </w:r>
      <w:r>
        <w:t xml:space="preserve"> </w:t>
      </w:r>
      <m:oMath>
        <m:r>
          <m:t>a</m:t>
        </m:r>
      </m:oMath>
      <w:r>
        <w:t xml:space="preserve"> </w:t>
      </w:r>
      <w:r>
        <w:t xml:space="preserve">-</w:t>
      </w:r>
      <w:r>
        <w:t xml:space="preserve"> </w:t>
      </w:r>
      <m:oMath>
        <m:r>
          <m:t>i</m:t>
        </m:r>
        <m:r>
          <m:t>i</m:t>
        </m:r>
      </m:oMath>
      <w:r>
        <w:t xml:space="preserve"> </w:t>
      </w:r>
      <w:r>
        <w:t xml:space="preserve">is the index of the current selectivity change event</w:t>
      </w:r>
    </w:p>
    <w:bookmarkEnd w:id="218"/>
    <w:bookmarkStart w:id="219" w:name="annual-normalization"/>
    <w:p>
      <w:pPr>
        <w:pStyle w:val="Heading3"/>
      </w:pPr>
      <w:r>
        <w:t xml:space="preserve">Annual Normalization</w:t>
      </w:r>
    </w:p>
    <w:p>
      <w:pPr>
        <w:pStyle w:val="FirstParagraph"/>
      </w:pPr>
      <w:r>
        <w:t xml:space="preserve">For each year</w:t>
      </w:r>
      <w:r>
        <w:t xml:space="preserve"> </w:t>
      </w:r>
      <m:oMath>
        <m:r>
          <m:t>t</m:t>
        </m:r>
      </m:oMath>
      <w:r>
        <w:t xml:space="preserve">:</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and the actual selectivity is:</w:t>
      </w:r>
    </w:p>
    <w:p>
      <w:pPr>
        <w:pStyle w:val="BodyText"/>
      </w:pPr>
      <m:oMathPara>
        <m:oMathParaPr>
          <m:jc m:val="center"/>
        </m:oMathParaPr>
        <m:oMath>
          <m:sSub>
            <m:e>
              <m:r>
                <m:t>S</m:t>
              </m:r>
            </m:e>
            <m:sub>
              <m:r>
                <m:t>t</m:t>
              </m:r>
              <m:r>
                <m:rPr>
                  <m:sty m:val="p"/>
                </m:rPr>
                <m:t>,</m:t>
              </m:r>
              <m:r>
                <m:t>a</m:t>
              </m:r>
            </m:sub>
          </m:sSub>
          <m:r>
            <m:rPr>
              <m:sty m:val="p"/>
            </m:rPr>
            <m:t>=</m:t>
          </m:r>
          <m:r>
            <m:rPr>
              <m:sty m:val="p"/>
            </m:rPr>
            <m:t>exp</m:t>
          </m:r>
          <m:d>
            <m:dPr>
              <m:begChr m:val="("/>
              <m:sepChr m:val=""/>
              <m:endChr m:val=")"/>
              <m:grow/>
            </m:dPr>
            <m:e>
              <m:r>
                <m:rPr>
                  <m:sty m:val="p"/>
                </m:rPr>
                <m:t>log</m:t>
              </m:r>
              <m:d>
                <m:dPr>
                  <m:begChr m:val="("/>
                  <m:sepChr m:val=""/>
                  <m:endChr m:val=")"/>
                  <m:grow/>
                </m:dPr>
                <m:e>
                  <m:sSub>
                    <m:e>
                      <m:r>
                        <m:t>S</m:t>
                      </m:r>
                    </m:e>
                    <m:sub>
                      <m:r>
                        <m:t>t</m:t>
                      </m:r>
                      <m:r>
                        <m:rPr>
                          <m:sty m:val="p"/>
                        </m:rPr>
                        <m:t>,</m:t>
                      </m:r>
                      <m:r>
                        <m:t>a</m:t>
                      </m:r>
                    </m:sub>
                  </m:sSub>
                </m:e>
              </m:d>
            </m:e>
          </m:d>
        </m:oMath>
      </m:oMathPara>
    </w:p>
    <w:bookmarkEnd w:id="219"/>
    <w:bookmarkEnd w:id="220"/>
    <w:bookmarkStart w:id="221" w:name="constraints-and-properties"/>
    <w:p>
      <w:pPr>
        <w:pStyle w:val="Heading2"/>
      </w:pPr>
      <w:r>
        <w:t xml:space="preserve">Constraints and Properties</w:t>
      </w:r>
    </w:p>
    <w:p>
      <w:pPr>
        <w:numPr>
          <w:ilvl w:val="0"/>
          <w:numId w:val="1002"/>
        </w:numPr>
      </w:pPr>
      <w:r>
        <w:rPr>
          <w:b/>
          <w:bCs/>
        </w:rPr>
        <w:t xml:space="preserve">Normalization Constraint</w:t>
      </w:r>
      <w:r>
        <w:t xml:space="preserve">:</w:t>
      </w:r>
    </w:p>
    <w:p>
      <w:pPr>
        <w:pStyle w:val="BodyText"/>
      </w:pPr>
      <m:oMathPara>
        <m:oMathParaPr>
          <m:jc m:val="center"/>
        </m:oMathParaP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r>
            <m:t> </m:t>
          </m:r>
          <m:r>
            <m:rPr>
              <m:sty m:val="p"/>
            </m:rPr>
            <m:t>∀</m:t>
          </m:r>
          <m:r>
            <m:t>t</m:t>
          </m:r>
        </m:oMath>
      </m:oMathPara>
    </w:p>
    <w:p>
      <w:pPr>
        <w:numPr>
          <w:ilvl w:val="0"/>
          <w:numId w:val="1002"/>
        </w:numPr>
      </w:pPr>
      <w:r>
        <w:rPr>
          <w:b/>
          <w:bCs/>
        </w:rPr>
        <w:t xml:space="preserve">Dome-shaped Constraint</w:t>
      </w:r>
      <w:r>
        <w:t xml:space="preserve">:</w:t>
      </w:r>
    </w:p>
    <w:p>
      <w:pPr>
        <w:pStyle w:val="BodyText"/>
      </w:pPr>
      <m:oMathPara>
        <m:oMathParaPr>
          <m:jc m:val="center"/>
        </m:oMathParaPr>
        <m:oMath>
          <m:sSub>
            <m:e>
              <m:r>
                <m:t>S</m:t>
              </m:r>
            </m:e>
            <m:sub>
              <m:r>
                <m:t>t</m:t>
              </m:r>
              <m:r>
                <m:rPr>
                  <m:sty m:val="p"/>
                </m:rPr>
                <m:t>,</m:t>
              </m:r>
              <m:r>
                <m:t>a</m:t>
              </m:r>
            </m:sub>
          </m:sSub>
          <m:r>
            <m:rPr>
              <m:sty m:val="p"/>
            </m:rPr>
            <m:t>=</m:t>
          </m:r>
          <m:sSub>
            <m:e>
              <m:r>
                <m:t>S</m:t>
              </m:r>
            </m:e>
            <m:sub>
              <m:r>
                <m:t>t</m:t>
              </m:r>
              <m:r>
                <m:rPr>
                  <m:sty m:val="p"/>
                </m:rPr>
                <m:t>,</m:t>
              </m:r>
              <m:r>
                <m:t>n</m:t>
              </m:r>
              <m:r>
                <m:t>s</m:t>
              </m:r>
              <m:r>
                <m:t>e</m:t>
              </m:r>
              <m:r>
                <m:t>l</m:t>
              </m:r>
            </m:sub>
          </m:sSub>
          <m:r>
            <m:t> </m:t>
          </m:r>
          <m:r>
            <m:rPr>
              <m:nor/>
              <m:sty m:val="p"/>
            </m:rPr>
            <m:t>for </m:t>
          </m:r>
          <m:r>
            <m:t>a</m:t>
          </m:r>
          <m:r>
            <m:rPr>
              <m:sty m:val="p"/>
            </m:rPr>
            <m:t>&gt;</m:t>
          </m:r>
          <m:r>
            <m:t>n</m:t>
          </m:r>
          <m:r>
            <m:t>s</m:t>
          </m:r>
          <m:r>
            <m:t>e</m:t>
          </m:r>
          <m:r>
            <m:t>l</m:t>
          </m:r>
        </m:oMath>
      </m:oMathPara>
    </w:p>
    <w:p>
      <w:pPr>
        <w:numPr>
          <w:ilvl w:val="0"/>
          <w:numId w:val="1002"/>
        </w:numPr>
      </w:pPr>
      <w:r>
        <w:rPr>
          <w:b/>
          <w:bCs/>
        </w:rPr>
        <w:t xml:space="preserve">Continuity</w:t>
      </w:r>
      <w:r>
        <w:t xml:space="preserve">: Selectivity changes only occur in specified years (</w:t>
      </w:r>
      <w:r>
        <w:rPr>
          <w:rStyle w:val="VerbatimChar"/>
        </w:rPr>
        <w:t xml:space="preserve">yrs_ch_fsh</w:t>
      </w:r>
      <w:r>
        <w:t xml:space="preserve">)</w:t>
      </w:r>
    </w:p>
    <w:p>
      <w:pPr>
        <w:numPr>
          <w:ilvl w:val="0"/>
          <w:numId w:val="1002"/>
        </w:numPr>
      </w:pPr>
      <w:r>
        <w:rPr>
          <w:b/>
          <w:bCs/>
        </w:rPr>
        <w:t xml:space="preserve">Deviation Structure</w:t>
      </w:r>
      <w:r>
        <w:t xml:space="preserve">:</w:t>
      </w:r>
    </w:p>
    <w:p>
      <w:pPr>
        <w:pStyle w:val="BodyText"/>
      </w:pPr>
      <m:oMathPara>
        <m:oMathParaPr>
          <m:jc m:val="center"/>
        </m:oMathParaPr>
        <m:oMath>
          <m:sSub>
            <m:e>
              <m:r>
                <m:t>δ</m:t>
              </m:r>
            </m:e>
            <m:sub>
              <m:r>
                <m:t>i</m:t>
              </m:r>
              <m:r>
                <m:t>i</m:t>
              </m:r>
            </m:sub>
          </m:sSub>
          <m:r>
            <m:rPr>
              <m:sty m:val="p"/>
            </m:rPr>
            <m:t>∼</m:t>
          </m:r>
          <m:r>
            <m:rPr>
              <m:nor/>
              <m:sty m:val="p"/>
            </m:rPr>
            <m:t>estimated deviations with penalties</m:t>
          </m:r>
        </m:oMath>
      </m:oMathPara>
    </w:p>
    <w:bookmarkEnd w:id="221"/>
    <w:bookmarkStart w:id="222" w:name="implementation-notes"/>
    <w:p>
      <w:pPr>
        <w:pStyle w:val="Heading2"/>
      </w:pPr>
      <w:r>
        <w:t xml:space="preserve">Implementation Notes</w:t>
      </w:r>
    </w:p>
    <w:p>
      <w:pPr>
        <w:pStyle w:val="Compact"/>
        <w:numPr>
          <w:ilvl w:val="0"/>
          <w:numId w:val="1003"/>
        </w:numPr>
      </w:pPr>
      <w:r>
        <w:t xml:space="preserve">Base coefficients</w:t>
      </w:r>
      <w:r>
        <w:t xml:space="preserve"> </w:t>
      </w:r>
      <m:oMath>
        <m:r>
          <m:rPr>
            <m:sty m:val="b"/>
          </m:rPr>
          <m:t>c</m:t>
        </m:r>
      </m:oMath>
      <w:r>
        <w:t xml:space="preserve"> </w:t>
      </w:r>
      <w:r>
        <w:t xml:space="preserve">are estimated parameters</w:t>
      </w:r>
    </w:p>
    <w:p>
      <w:pPr>
        <w:pStyle w:val="Compact"/>
        <w:numPr>
          <w:ilvl w:val="0"/>
          <w:numId w:val="1003"/>
        </w:numPr>
      </w:pPr>
      <w:r>
        <w:t xml:space="preserve">Deviations</w:t>
      </w:r>
      <w:r>
        <w:t xml:space="preserve"> </w:t>
      </w:r>
      <m:oMath>
        <m:r>
          <m:rPr>
            <m:sty m:val="b"/>
          </m:rPr>
          <m:t>δ</m:t>
        </m:r>
      </m:oMath>
      <w:r>
        <w:t xml:space="preserve"> </w:t>
      </w:r>
      <w:r>
        <w:t xml:space="preserve">are typically penalized to prevent overfitting</w:t>
      </w:r>
    </w:p>
    <w:p>
      <w:pPr>
        <w:pStyle w:val="Compact"/>
        <w:numPr>
          <w:ilvl w:val="0"/>
          <w:numId w:val="1003"/>
        </w:numPr>
      </w:pPr>
      <w:r>
        <w:t xml:space="preserve">The plateau assumption prevents unrealistic selectivity patterns for older ages</w:t>
      </w:r>
    </w:p>
    <w:p>
      <w:pPr>
        <w:pStyle w:val="Compact"/>
        <w:numPr>
          <w:ilvl w:val="0"/>
          <w:numId w:val="1003"/>
        </w:numPr>
      </w:pPr>
      <w:r>
        <w:t xml:space="preserve">Geometric mean normalization maintains interpretability relative to fishing mortality</w:t>
      </w:r>
    </w:p>
    <w:bookmarkEnd w:id="222"/>
    <w:bookmarkEnd w:id="223"/>
    <w:bookmarkStart w:id="224" w:name="regularization-and-penalty-terms"/>
    <w:p>
      <w:pPr>
        <w:pStyle w:val="Heading1"/>
      </w:pPr>
      <w:r>
        <w:t xml:space="preserve">Regularization and Penalty Terms</w:t>
      </w:r>
    </w:p>
    <w:p>
      <w:pPr>
        <w:pStyle w:val="FirstParagraph"/>
      </w:pPr>
      <w:r>
        <w:t xml:space="preserve">The selectivity model includes several penalty terms to ensure realistic and stable estimates:</w:t>
      </w:r>
      <w:r>
        <w:t xml:space="preserve"> </w:t>
      </w:r>
      <w:r>
        <w:t xml:space="preserve">Penalty Term 1: Deviation Magnitude Penalty</w:t>
      </w:r>
      <w:r>
        <w:t xml:space="preserve"> </w:t>
      </w:r>
      <m:oMath>
        <m:sSub>
          <m:e>
            <m:r>
              <m:t>P</m:t>
            </m:r>
          </m:e>
          <m:sub>
            <m:r>
              <m:t>1</m:t>
            </m:r>
          </m:sub>
        </m:sSub>
        <m:r>
          <m:rPr>
            <m:sty m:val="p"/>
          </m:rPr>
          <m:t>=</m:t>
        </m:r>
        <m:f>
          <m:fPr>
            <m:type m:val="bar"/>
          </m:fPr>
          <m:num>
            <m:sSub>
              <m:e>
                <m:r>
                  <m:t>λ</m:t>
                </m:r>
              </m:e>
              <m:sub>
                <m:r>
                  <m:t>1</m:t>
                </m:r>
              </m:sub>
            </m:sSub>
          </m:num>
          <m:den>
            <m:sSub>
              <m:e>
                <m:r>
                  <m:t>N</m:t>
                </m:r>
              </m:e>
              <m:sub>
                <m:r>
                  <m:t>g</m:t>
                </m:r>
                <m:r>
                  <m:t>r</m:t>
                </m:r>
                <m:r>
                  <m:t>o</m:t>
                </m:r>
                <m:r>
                  <m:t>u</m:t>
                </m:r>
                <m:r>
                  <m:t>p</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sup>
              <m:e>
                <m:sSubSup>
                  <m:e>
                    <m:r>
                      <m:t>δ</m:t>
                    </m:r>
                  </m:e>
                  <m:sub>
                    <m:r>
                      <m:t>i</m:t>
                    </m:r>
                    <m:r>
                      <m:rPr>
                        <m:sty m:val="p"/>
                      </m:rPr>
                      <m:t>,</m:t>
                    </m:r>
                    <m:r>
                      <m:t>a</m:t>
                    </m:r>
                  </m:sub>
                  <m:sup>
                    <m:r>
                      <m:t>2</m:t>
                    </m:r>
                  </m:sup>
                </m:sSubSup>
              </m:e>
            </m:nary>
          </m:e>
        </m:nary>
      </m:oMath>
      <w:r>
        <w:t xml:space="preserve"> </w:t>
      </w:r>
      <w:r>
        <w:t xml:space="preserve">where:</w:t>
      </w:r>
    </w:p>
    <w:p>
      <w:pPr>
        <w:pStyle w:val="BodyText"/>
      </w:pPr>
      <m:oMath>
        <m:sSub>
          <m:e>
            <m:r>
              <m:t>λ</m:t>
            </m:r>
          </m:e>
          <m:sub>
            <m:r>
              <m:t>1</m:t>
            </m:r>
          </m:sub>
        </m:sSub>
      </m:oMath>
      <w:r>
        <w:t xml:space="preserve"> </w:t>
      </w:r>
      <w:r>
        <w:t xml:space="preserve">= ctrl_flag(10) (penalty weight parameter)</w:t>
      </w:r>
      <w:r>
        <w:t xml:space="preserve"> </w:t>
      </w:r>
      <m:oMath>
        <m:sSub>
          <m:e>
            <m:r>
              <m:t>N</m:t>
            </m:r>
          </m:e>
          <m:sub>
            <m:r>
              <m:t>g</m:t>
            </m:r>
            <m:r>
              <m:t>r</m:t>
            </m:r>
            <m:r>
              <m:t>o</m:t>
            </m:r>
            <m:r>
              <m:t>u</m:t>
            </m:r>
            <m:r>
              <m:t>p</m:t>
            </m:r>
            <m:r>
              <m:t>s</m:t>
            </m:r>
          </m:sub>
        </m:sSub>
      </m:oMath>
      <w:r>
        <w:t xml:space="preserve"> </w:t>
      </w:r>
      <w:r>
        <w:t xml:space="preserve">= group_num_fsh (number of fishery groups)</w:t>
      </w:r>
      <w:r>
        <w:t xml:space="preserve"> </w:t>
      </w:r>
      <w:r>
        <w:t xml:space="preserve">This shrinks deviations toward zero when not informed by data</w:t>
      </w:r>
    </w:p>
    <w:p>
      <w:pPr>
        <w:pStyle w:val="BodyText"/>
      </w:pPr>
      <w:r>
        <w:t xml:space="preserve">Penalty Term 2: Base Selectivity Smoothness Penalty</w:t>
      </w:r>
      <w:r>
        <w:t xml:space="preserve"> </w:t>
      </w:r>
      <m:oMath>
        <m:sSub>
          <m:e>
            <m:r>
              <m:t>P</m:t>
            </m:r>
          </m:e>
          <m:sub>
            <m:r>
              <m:t>2</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r>
                              <m:t>s</m:t>
                            </m:r>
                            <m:r>
                              <m:t>t</m:t>
                            </m:r>
                            <m:r>
                              <m:t>y</m:t>
                            </m:r>
                            <m:r>
                              <m:t>r</m:t>
                            </m:r>
                            <m:r>
                              <m:rPr>
                                <m:sty m:val="p"/>
                              </m:rPr>
                              <m:t>,</m:t>
                            </m:r>
                            <m:r>
                              <m:t>a</m:t>
                            </m:r>
                          </m:sub>
                        </m:sSub>
                      </m:e>
                    </m:d>
                  </m:e>
                </m:d>
              </m:e>
              <m:sup>
                <m:r>
                  <m:t>2</m:t>
                </m:r>
              </m:sup>
            </m:sSup>
          </m:e>
        </m:nary>
      </m:oMath>
      <w:r>
        <w:t xml:space="preserve"> </w:t>
      </w:r>
      <w:r>
        <w:t xml:space="preserve">where:</w:t>
      </w:r>
    </w:p>
    <w:p>
      <w:pPr>
        <w:pStyle w:val="BodyText"/>
      </w:pPr>
      <m:oMath>
        <m:sSub>
          <m:e>
            <m:r>
              <m:t>λ</m:t>
            </m:r>
          </m:e>
          <m:sub>
            <m:r>
              <m:t>2</m:t>
            </m:r>
          </m:sub>
        </m:sSub>
      </m:oMath>
      <w:r>
        <w:t xml:space="preserve"> </w:t>
      </w:r>
      <w:r>
        <w:t xml:space="preserve">= ctrl_flag(11) (smoothness penalty weight)</w:t>
      </w:r>
      <w:r>
        <w:t xml:space="preserve"> </w:t>
      </w:r>
      <m:oMath>
        <m:sSup>
          <m:e>
            <m:r>
              <m:rPr>
                <m:sty m:val="p"/>
              </m:rPr>
              <m:t>∇</m:t>
            </m:r>
          </m:e>
          <m:sup>
            <m:r>
              <m:t>2</m:t>
            </m:r>
          </m:sup>
        </m:sSup>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r>
                  <m:rPr>
                    <m:sty m:val="p"/>
                  </m:rPr>
                  <m:t>+</m:t>
                </m:r>
                <m:r>
                  <m:t>2</m:t>
                </m:r>
              </m:sub>
            </m:sSub>
          </m:e>
        </m:d>
        <m:r>
          <m:rPr>
            <m:sty m:val="p"/>
          </m:rPr>
          <m:t>−</m:t>
        </m:r>
        <m:r>
          <m:t>2</m:t>
        </m:r>
        <m:r>
          <m:rPr>
            <m:sty m:val="p"/>
          </m:rPr>
          <m:t>log</m:t>
        </m:r>
        <m:d>
          <m:dPr>
            <m:begChr m:val="("/>
            <m:sepChr m:val=""/>
            <m:endChr m:val=")"/>
            <m:grow/>
          </m:dPr>
          <m:e>
            <m:sSub>
              <m:e>
                <m:r>
                  <m:t>S</m:t>
                </m:r>
              </m:e>
              <m:sub>
                <m:r>
                  <m:t>t</m:t>
                </m:r>
                <m:r>
                  <m:rPr>
                    <m:sty m:val="p"/>
                  </m:rPr>
                  <m:t>,</m:t>
                </m:r>
                <m:r>
                  <m:t>a</m:t>
                </m:r>
                <m:r>
                  <m:rPr>
                    <m:sty m:val="p"/>
                  </m:rPr>
                  <m:t>+</m:t>
                </m:r>
                <m:r>
                  <m:t>1</m:t>
                </m:r>
              </m:sub>
            </m:sSub>
          </m:e>
        </m:d>
        <m:r>
          <m:rPr>
            <m:sty m:val="p"/>
          </m:rPr>
          <m:t>+</m:t>
        </m:r>
        <m:r>
          <m:rPr>
            <m:sty m:val="p"/>
          </m:rPr>
          <m:t>log</m:t>
        </m:r>
        <m:d>
          <m:dPr>
            <m:begChr m:val="("/>
            <m:sepChr m:val=""/>
            <m:endChr m:val=")"/>
            <m:grow/>
          </m:dPr>
          <m:e>
            <m:sSub>
              <m:e>
                <m:r>
                  <m:t>S</m:t>
                </m:r>
              </m:e>
              <m:sub>
                <m:r>
                  <m:t>t</m:t>
                </m:r>
                <m:r>
                  <m:rPr>
                    <m:sty m:val="p"/>
                  </m:rPr>
                  <m:t>,</m:t>
                </m:r>
                <m:r>
                  <m:t>a</m:t>
                </m:r>
              </m:sub>
            </m:sSub>
          </m:e>
        </m:d>
      </m:oMath>
      <w:r>
        <w:t xml:space="preserve"> </w:t>
      </w:r>
      <w:r>
        <w:t xml:space="preserve">(second difference)</w:t>
      </w:r>
      <w:r>
        <w:t xml:space="preserve"> </w:t>
      </w:r>
      <w:r>
        <w:t xml:space="preserve">This penalizes high curvature in the base selectivity pattern</w:t>
      </w:r>
    </w:p>
    <w:p>
      <w:pPr>
        <w:pStyle w:val="BodyText"/>
      </w:pPr>
      <w:r>
        <w:t xml:space="preserve">Penalty Term 3: Change Year Smoothness Penalty</w:t>
      </w:r>
      <w:r>
        <w:t xml:space="preserve"> </w:t>
      </w:r>
      <m:oMath>
        <m:sSub>
          <m:e>
            <m:r>
              <m:t>P</m:t>
            </m:r>
          </m:e>
          <m:sub>
            <m:r>
              <m:t>3</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e>
        </m:nary>
      </m:oMath>
      <w:r>
        <w:t xml:space="preserve"> </w:t>
      </w:r>
      <w:r>
        <w:t xml:space="preserve">where</w:t>
      </w:r>
      <w:r>
        <w:t xml:space="preserve"> </w:t>
      </w:r>
      <m:oMath>
        <m:sSub>
          <m:e>
            <m:r>
              <m:t>t</m:t>
            </m:r>
          </m:e>
          <m:sub>
            <m:r>
              <m:t>i</m:t>
            </m:r>
          </m:sub>
        </m:sSub>
      </m:oMath>
      <w:r>
        <w:t xml:space="preserve"> </w:t>
      </w:r>
      <w:r>
        <w:t xml:space="preserve">represents each change year. This maintains smooth selectivity curves in all change years.</w:t>
      </w:r>
      <w:r>
        <w:t xml:space="preserve"> </w:t>
      </w:r>
      <w:r>
        <w:t xml:space="preserve">Penalty Term 4: Temporal Stability Penalty (Random Walk)</w:t>
      </w:r>
      <w:r>
        <w:t xml:space="preserve"> </w:t>
      </w:r>
      <m:oMath>
        <m:sSub>
          <m:e>
            <m:r>
              <m:t>P</m:t>
            </m:r>
          </m:e>
          <m:sub>
            <m:r>
              <m:t>4</m:t>
            </m:r>
          </m:sub>
        </m:sSub>
        <m:r>
          <m:rPr>
            <m:sty m:val="p"/>
          </m:rPr>
          <m:t>=</m:t>
        </m:r>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f>
              <m:fPr>
                <m:type m:val="bar"/>
              </m:fPr>
              <m:num>
                <m:r>
                  <m:t>1</m:t>
                </m:r>
              </m:num>
              <m:den>
                <m:r>
                  <m:t>2</m:t>
                </m:r>
                <m:sSubSup>
                  <m:e>
                    <m:r>
                      <m:t>σ</m:t>
                    </m:r>
                  </m:e>
                  <m:sub>
                    <m:r>
                      <m:t>i</m:t>
                    </m:r>
                  </m:sub>
                  <m:sup>
                    <m:r>
                      <m:t>2</m:t>
                    </m:r>
                  </m:sup>
                </m:sSubSup>
              </m:den>
            </m:f>
          </m:e>
        </m:nary>
        <m:nary>
          <m:naryPr>
            <m:chr m:val="∑"/>
            <m:limLoc m:val="undOvr"/>
            <m:subHide m:val="off"/>
            <m:supHide m:val="off"/>
          </m:naryPr>
          <m:sub>
            <m:r>
              <m:t>a</m:t>
            </m:r>
            <m:r>
              <m:rPr>
                <m:sty m:val="p"/>
              </m:rPr>
              <m:t>=</m:t>
            </m:r>
            <m:r>
              <m:t>1</m:t>
            </m:r>
          </m:sub>
          <m:sup>
            <m:r>
              <m:t>n</m:t>
            </m:r>
            <m:r>
              <m:t>a</m:t>
            </m:r>
            <m:r>
              <m:t>g</m:t>
            </m:r>
            <m:r>
              <m:t>e</m:t>
            </m:r>
            <m:r>
              <m:t>s</m:t>
            </m:r>
          </m:sup>
          <m:e>
            <m:sSup>
              <m:e>
                <m:d>
                  <m:dPr>
                    <m:begChr m:val="["/>
                    <m:sepChr m:val=""/>
                    <m:endChr m:val="]"/>
                    <m:grow/>
                  </m:dPr>
                  <m:e>
                    <m:r>
                      <m:rPr>
                        <m:sty m:val="p"/>
                      </m:rPr>
                      <m:t>log</m:t>
                    </m:r>
                    <m:d>
                      <m:dPr>
                        <m:begChr m:val="("/>
                        <m:sepChr m:val=""/>
                        <m:endChr m:val=")"/>
                        <m:grow/>
                      </m:dPr>
                      <m:e>
                        <m:sSub>
                          <m:e>
                            <m:r>
                              <m:t>S</m:t>
                            </m:r>
                          </m:e>
                          <m:sub>
                            <m:sSub>
                              <m:e>
                                <m:r>
                                  <m:t>t</m:t>
                                </m:r>
                              </m:e>
                              <m:sub>
                                <m:r>
                                  <m:t>i</m:t>
                                </m:r>
                              </m:sub>
                            </m:sSub>
                            <m:r>
                              <m:rPr>
                                <m:sty m:val="p"/>
                              </m:rPr>
                              <m:t>−</m:t>
                            </m:r>
                            <m:r>
                              <m:t>1</m:t>
                            </m:r>
                            <m:r>
                              <m:rPr>
                                <m:sty m:val="p"/>
                              </m:rPr>
                              <m:t>,</m:t>
                            </m:r>
                            <m:r>
                              <m:t>a</m:t>
                            </m:r>
                          </m:sub>
                        </m:sSub>
                      </m:e>
                    </m:d>
                    <m:r>
                      <m:rPr>
                        <m:sty m:val="p"/>
                      </m:rPr>
                      <m:t>−</m:t>
                    </m:r>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oMath>
      <w:r>
        <w:t xml:space="preserve"> </w:t>
      </w:r>
      <w:r>
        <w:t xml:space="preserve">where:</w:t>
      </w:r>
    </w:p>
    <w:p>
      <w:pPr>
        <w:pStyle w:val="BodyText"/>
      </w:pPr>
      <m:oMath>
        <m:sSub>
          <m:e>
            <m:r>
              <m:t>σ</m:t>
            </m:r>
          </m:e>
          <m:sub>
            <m:r>
              <m:t>i</m:t>
            </m:r>
          </m:sub>
        </m:sSub>
      </m:oMath>
      <w:r>
        <w:t xml:space="preserve"> </w:t>
      </w:r>
      <w:r>
        <w:t xml:space="preserve">= sel_ch_sig_fsh(i) (change magnitude parameter for change event</w:t>
      </w:r>
      <w:r>
        <w:t xml:space="preserve"> </w:t>
      </w:r>
      <m:oMath>
        <m:r>
          <m:t>i</m:t>
        </m:r>
      </m:oMath>
      <w:r>
        <w:t xml:space="preserve">)</w:t>
      </w:r>
      <w:r>
        <w:t xml:space="preserve"> </w:t>
      </w:r>
      <w:r>
        <w:t xml:space="preserve">This penalizes large year-to-year changes in selectivity</w:t>
      </w:r>
      <w:r>
        <w:t xml:space="preserve"> </w:t>
      </w:r>
      <w:r>
        <w:t xml:space="preserve">Only applied when</w:t>
      </w:r>
      <w:r>
        <w:t xml:space="preserve"> </w:t>
      </w:r>
      <m:oMath>
        <m:sSub>
          <m:e>
            <m:r>
              <m:t>t</m:t>
            </m:r>
          </m:e>
          <m:sub>
            <m:r>
              <m:t>i</m:t>
            </m:r>
          </m:sub>
        </m:sSub>
        <m:r>
          <m:rPr>
            <m:sty m:val="p"/>
          </m:rPr>
          <m:t>≠</m:t>
        </m:r>
        <m:r>
          <m:t>s</m:t>
        </m:r>
        <m:r>
          <m:t>t</m:t>
        </m:r>
        <m:r>
          <m:t>y</m:t>
        </m:r>
        <m:r>
          <m:t>r</m:t>
        </m:r>
      </m:oMath>
      <w:r>
        <w:t xml:space="preserve"> </w:t>
      </w:r>
      <w:r>
        <w:t xml:space="preserve">(change year is not the start year)</w:t>
      </w:r>
    </w:p>
    <w:p>
      <w:pPr>
        <w:pStyle w:val="BodyText"/>
      </w:pPr>
      <w:r>
        <w:t xml:space="preserve">Total Penalty Function</w:t>
      </w:r>
      <w:r>
        <w:t xml:space="preserve"> </w:t>
      </w:r>
      <m:oMath>
        <m:sSub>
          <m:e>
            <m:r>
              <m:t>P</m:t>
            </m:r>
          </m:e>
          <m:sub>
            <m:r>
              <m:t>t</m:t>
            </m:r>
            <m:r>
              <m:t>o</m:t>
            </m:r>
            <m:r>
              <m:t>t</m:t>
            </m:r>
            <m:r>
              <m:t>a</m:t>
            </m:r>
            <m:r>
              <m:t>l</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oMath>
      <w:r>
        <w:t xml:space="preserve"> </w:t>
      </w:r>
      <w:r>
        <w:t xml:space="preserve">The total negative log-likelihood becomes:</w:t>
      </w:r>
      <w:r>
        <w:t xml:space="preserve"> </w:t>
      </w:r>
      <m:oMath>
        <m:r>
          <m:rPr>
            <m:sty m:val="p"/>
          </m:rPr>
          <m:t>−</m:t>
        </m:r>
        <m:r>
          <m:rPr>
            <m:sty m:val="p"/>
          </m:rPr>
          <m:t>log</m:t>
        </m:r>
        <m:r>
          <m:t>L</m:t>
        </m:r>
        <m:r>
          <m:rPr>
            <m:sty m:val="p"/>
          </m:rPr>
          <m:t>=</m:t>
        </m:r>
        <m:r>
          <m:rPr>
            <m:sty m:val="p"/>
          </m:rPr>
          <m:t>−</m:t>
        </m:r>
        <m:r>
          <m:rPr>
            <m:sty m:val="p"/>
          </m:rPr>
          <m:t>log</m:t>
        </m:r>
        <m:sSub>
          <m:e>
            <m:r>
              <m:t>L</m:t>
            </m:r>
          </m:e>
          <m:sub>
            <m:r>
              <m:t>d</m:t>
            </m:r>
            <m:r>
              <m:t>a</m:t>
            </m:r>
            <m:r>
              <m:t>t</m:t>
            </m:r>
            <m:r>
              <m:t>a</m:t>
            </m:r>
          </m:sub>
        </m:sSub>
        <m:r>
          <m:rPr>
            <m:sty m:val="p"/>
          </m:rPr>
          <m:t>+</m:t>
        </m:r>
        <m:sSub>
          <m:e>
            <m:r>
              <m:t>P</m:t>
            </m:r>
          </m:e>
          <m:sub>
            <m:r>
              <m:t>t</m:t>
            </m:r>
            <m:r>
              <m:t>o</m:t>
            </m:r>
            <m:r>
              <m:t>t</m:t>
            </m:r>
            <m:r>
              <m:t>a</m:t>
            </m:r>
            <m:r>
              <m:t>l</m:t>
            </m:r>
          </m:sub>
        </m:sSub>
      </m:oMath>
      <w:r>
        <w:t xml:space="preserve"> </w:t>
      </w:r>
      <w:r>
        <w:t xml:space="preserve">Penalty Interpretation</w:t>
      </w:r>
    </w:p>
    <w:p>
      <w:pPr>
        <w:pStyle w:val="BodyText"/>
      </w:pPr>
      <m:oMath>
        <m:sSub>
          <m:e>
            <m:r>
              <m:t>P</m:t>
            </m:r>
          </m:e>
          <m:sub>
            <m:r>
              <m:t>1</m:t>
            </m:r>
          </m:sub>
        </m:sSub>
      </m:oMath>
      <w:r>
        <w:t xml:space="preserve">: Prevents overfitting by shrinking deviations toward zero</w:t>
      </w:r>
      <w:r>
        <w:t xml:space="preserve"> </w:t>
      </w:r>
      <m:oMath>
        <m:sSub>
          <m:e>
            <m:r>
              <m:t>P</m:t>
            </m:r>
          </m:e>
          <m:sub>
            <m:r>
              <m:t>2</m:t>
            </m:r>
          </m:sub>
        </m:sSub>
      </m:oMath>
      <w:r>
        <w:t xml:space="preserve"> </w:t>
      </w:r>
      <w:r>
        <w:t xml:space="preserve">and</w:t>
      </w:r>
      <w:r>
        <w:t xml:space="preserve"> </w:t>
      </w:r>
      <m:oMath>
        <m:sSub>
          <m:e>
            <m:r>
              <m:t>P</m:t>
            </m:r>
          </m:e>
          <m:sub>
            <m:r>
              <m:t>3</m:t>
            </m:r>
          </m:sub>
        </m:sSub>
      </m:oMath>
      <w:r>
        <w:t xml:space="preserve">: Enforce smooth, realistic selectivity curves (penalize jagged patterns)</w:t>
      </w:r>
      <w:r>
        <w:t xml:space="preserve"> </w:t>
      </w:r>
      <m:oMath>
        <m:sSub>
          <m:e>
            <m:r>
              <m:t>P</m:t>
            </m:r>
          </m:e>
          <m:sub>
            <m:r>
              <m:t>4</m:t>
            </m:r>
          </m:sub>
        </m:sSub>
      </m:oMath>
      <w:r>
        <w:t xml:space="preserve">: Constrains temporal evolution (selectivity changes smoothly over time)</w:t>
      </w:r>
    </w:p>
    <w:p>
      <w:pPr>
        <w:pStyle w:val="BodyText"/>
      </w:pPr>
      <w:r>
        <w:t xml:space="preserve">The penalty weights (</w:t>
      </w:r>
      <m:oMath>
        <m:sSub>
          <m:e>
            <m:r>
              <m:t>λ</m:t>
            </m:r>
          </m:e>
          <m:sub>
            <m:r>
              <m:t>1</m:t>
            </m:r>
          </m:sub>
        </m:sSub>
      </m:oMath>
      <w:r>
        <w:t xml:space="preserve">,</w:t>
      </w:r>
      <w:r>
        <w:t xml:space="preserve"> </w:t>
      </w:r>
      <m:oMath>
        <m:sSub>
          <m:e>
            <m:r>
              <m:t>λ</m:t>
            </m:r>
          </m:e>
          <m:sub>
            <m:r>
              <m:t>2</m:t>
            </m:r>
          </m:sub>
        </m:sSub>
      </m:oMath>
      <w:r>
        <w:t xml:space="preserve">) and variance parameters (</w:t>
      </w:r>
      <m:oMath>
        <m:sSub>
          <m:e>
            <m:r>
              <m:t>σ</m:t>
            </m:r>
          </m:e>
          <m:sub>
            <m:r>
              <m:t>i</m:t>
            </m:r>
          </m:sub>
        </m:sSub>
      </m:oMath>
      <w:r>
        <w:t xml:space="preserve">) control the balance between fitting data and maintaining realistic selectivity patterns.</w:t>
      </w:r>
      <w:r>
        <w:t xml:space="preserve"> </w:t>
      </w:r>
      <w:r>
        <w:t xml:space="preserve">Implementation Notes</w:t>
      </w:r>
    </w:p>
    <w:p>
      <w:pPr>
        <w:pStyle w:val="BodyText"/>
      </w:pPr>
      <w:r>
        <w:t xml:space="preserve">Base coefficients</w:t>
      </w:r>
      <w:r>
        <w:t xml:space="preserve"> </w:t>
      </w:r>
      <m:oMath>
        <m:r>
          <m:rPr>
            <m:sty m:val="b"/>
          </m:rPr>
          <m:t>c</m:t>
        </m:r>
      </m:oMath>
      <w:r>
        <w:t xml:space="preserve"> </w:t>
      </w:r>
      <w:r>
        <w:t xml:space="preserve">are estimated parameters</w:t>
      </w:r>
      <w:r>
        <w:t xml:space="preserve"> </w:t>
      </w:r>
      <w:r>
        <w:t xml:space="preserve">Deviations</w:t>
      </w:r>
      <w:r>
        <w:t xml:space="preserve"> </w:t>
      </w:r>
      <m:oMath>
        <m:r>
          <m:rPr>
            <m:sty m:val="b"/>
          </m:rPr>
          <m:t>δ</m:t>
        </m:r>
      </m:oMath>
      <w:r>
        <w:t xml:space="preserve"> </w:t>
      </w:r>
      <w:r>
        <w:t xml:space="preserve">are penalized to prevent overfitting</w:t>
      </w:r>
      <w:r>
        <w:t xml:space="preserve"> </w:t>
      </w:r>
      <w:r>
        <w:t xml:space="preserve">The plateau assumption prevents unrealistic selectivity patterns for older ages</w:t>
      </w:r>
      <w:r>
        <w:t xml:space="preserve"> </w:t>
      </w:r>
      <w:r>
        <w:t xml:space="preserve">Geometric mean normalization maintains interpretability relative to fishing mortality</w:t>
      </w:r>
      <w:r>
        <w:t xml:space="preserve"> </w:t>
      </w:r>
      <w:r>
        <w:t xml:space="preserve">Second differences approximate curvature (second derivatives) for smoothness penalties</w:t>
      </w:r>
    </w:p>
    <w:bookmarkEnd w:id="224"/>
    <w:bookmarkStart w:id="269" w:name="references"/>
    <w:p>
      <w:pPr>
        <w:pStyle w:val="Heading1"/>
      </w:pPr>
      <w:r>
        <w:t xml:space="preserve">References</w:t>
      </w:r>
    </w:p>
    <w:bookmarkStart w:id="268" w:name="refs"/>
    <w:bookmarkStart w:id="226"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225">
        <w:r>
          <w:rPr>
            <w:rStyle w:val="Hyperlink"/>
          </w:rPr>
          <w:t xml:space="preserve">https://doi.org/10.1016/j.fishres.2022.106303</w:t>
        </w:r>
      </w:hyperlink>
      <w:r>
        <w:t xml:space="preserve">.</w:t>
      </w:r>
    </w:p>
    <w:bookmarkEnd w:id="226"/>
    <w:bookmarkStart w:id="228"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227">
        <w:r>
          <w:rPr>
            <w:rStyle w:val="Hyperlink"/>
          </w:rPr>
          <w:t xml:space="preserve">https://doi.org/10.1101/2022.03.24.485545</w:t>
        </w:r>
      </w:hyperlink>
      <w:r>
        <w:t xml:space="preserve">.</w:t>
      </w:r>
    </w:p>
    <w:bookmarkEnd w:id="228"/>
    <w:bookmarkStart w:id="229" w:name="ref-butterworth2003statistical"/>
    <w:p>
      <w:pPr>
        <w:pStyle w:val="Bibliography"/>
      </w:pPr>
      <w:r>
        <w:t xml:space="preserve">Butterworth, Doug S, James N Ianelli, and Ray Hilborn. 2003.</w:t>
      </w:r>
      <w:r>
        <w:t xml:space="preserve"> </w:t>
      </w:r>
      <w:r>
        <w:t xml:space="preserve">“A Statistical Model for Stock Assessment of Southern Bluefin Tuna with Temporal Changes in Selectivity.”</w:t>
      </w:r>
      <w:r>
        <w:t xml:space="preserve"> </w:t>
      </w:r>
      <w:r>
        <w:rPr>
          <w:i/>
          <w:iCs/>
        </w:rPr>
        <w:t xml:space="preserve">Afr. J. Mar. Sci.</w:t>
      </w:r>
      <w:r>
        <w:t xml:space="preserve"> </w:t>
      </w:r>
      <w:r>
        <w:t xml:space="preserve">25: 331–61.</w:t>
      </w:r>
    </w:p>
    <w:bookmarkEnd w:id="229"/>
    <w:bookmarkStart w:id="230"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230"/>
    <w:bookmarkStart w:id="232"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231">
        <w:r>
          <w:rPr>
            <w:rStyle w:val="Hyperlink"/>
          </w:rPr>
          <w:t xml:space="preserve">https://doi.org/10.1111/faf.12891</w:t>
        </w:r>
      </w:hyperlink>
      <w:r>
        <w:t xml:space="preserve">.</w:t>
      </w:r>
    </w:p>
    <w:bookmarkEnd w:id="232"/>
    <w:bookmarkStart w:id="234"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233">
        <w:r>
          <w:rPr>
            <w:rStyle w:val="Hyperlink"/>
          </w:rPr>
          <w:t xml:space="preserve">https://doi.org/10.1080/10618600.1996.10474708</w:t>
        </w:r>
      </w:hyperlink>
      <w:r>
        <w:t xml:space="preserve">.</w:t>
      </w:r>
    </w:p>
    <w:bookmarkEnd w:id="234"/>
    <w:bookmarkStart w:id="235"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35"/>
    <w:bookmarkStart w:id="237"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36">
        <w:r>
          <w:rPr>
            <w:rStyle w:val="Hyperlink"/>
          </w:rPr>
          <w:t xml:space="preserve">http://florianhartig.github.io/DHARMa/</w:t>
        </w:r>
      </w:hyperlink>
      <w:r>
        <w:t xml:space="preserve">.</w:t>
      </w:r>
    </w:p>
    <w:bookmarkEnd w:id="237"/>
    <w:bookmarkStart w:id="239"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38">
        <w:r>
          <w:rPr>
            <w:rStyle w:val="Hyperlink"/>
          </w:rPr>
          <w:t xml:space="preserve">https://doi.org/10.1139/cjfas-2018-0112</w:t>
        </w:r>
      </w:hyperlink>
      <w:r>
        <w:t xml:space="preserve">.</w:t>
      </w:r>
    </w:p>
    <w:bookmarkEnd w:id="239"/>
    <w:bookmarkStart w:id="241"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40">
        <w:r>
          <w:rPr>
            <w:rStyle w:val="Hyperlink"/>
          </w:rPr>
          <w:t xml:space="preserve">https://www.npfmc.org/wp-content/PDFdocuments/SAFE/2024/EBSmultispp.pdf</w:t>
        </w:r>
      </w:hyperlink>
      <w:r>
        <w:t xml:space="preserve">.</w:t>
      </w:r>
    </w:p>
    <w:bookmarkEnd w:id="241"/>
    <w:bookmarkStart w:id="243"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42">
        <w:r>
          <w:rPr>
            <w:rStyle w:val="Hyperlink"/>
          </w:rPr>
          <w:t xml:space="preserve">http://afsc-assessments.github.io/EBSpollock/</w:t>
        </w:r>
      </w:hyperlink>
      <w:r>
        <w:t xml:space="preserve">.</w:t>
      </w:r>
    </w:p>
    <w:bookmarkEnd w:id="243"/>
    <w:bookmarkStart w:id="244"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44"/>
    <w:bookmarkStart w:id="246"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45">
        <w:r>
          <w:rPr>
            <w:rStyle w:val="Hyperlink"/>
          </w:rPr>
          <w:t xml:space="preserve">https://doi.org/10.1016/j.fishres.2012.10.012</w:t>
        </w:r>
      </w:hyperlink>
      <w:r>
        <w:t xml:space="preserve">.</w:t>
      </w:r>
    </w:p>
    <w:bookmarkEnd w:id="246"/>
    <w:bookmarkStart w:id="248"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47">
        <w:r>
          <w:rPr>
            <w:rStyle w:val="Hyperlink"/>
          </w:rPr>
          <w:t xml:space="preserve">https://doi.org/10.1016/j.fishres.2014.01.014</w:t>
        </w:r>
      </w:hyperlink>
      <w:r>
        <w:t xml:space="preserve">.</w:t>
      </w:r>
    </w:p>
    <w:bookmarkEnd w:id="248"/>
    <w:bookmarkStart w:id="250"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49">
        <w:r>
          <w:rPr>
            <w:rStyle w:val="Hyperlink"/>
          </w:rPr>
          <w:t xml:space="preserve">https://doi.org/10.1093/icesjms/fsab078</w:t>
        </w:r>
      </w:hyperlink>
      <w:r>
        <w:t xml:space="preserve">.</w:t>
      </w:r>
    </w:p>
    <w:bookmarkEnd w:id="250"/>
    <w:bookmarkStart w:id="252"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51">
        <w:r>
          <w:rPr>
            <w:rStyle w:val="Hyperlink"/>
          </w:rPr>
          <w:t xml:space="preserve">https://doi.org/10.1111/fog.12494</w:t>
        </w:r>
      </w:hyperlink>
      <w:r>
        <w:t xml:space="preserve">.</w:t>
      </w:r>
    </w:p>
    <w:bookmarkEnd w:id="252"/>
    <w:bookmarkStart w:id="253"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53"/>
    <w:bookmarkStart w:id="255"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54">
        <w:r>
          <w:rPr>
            <w:rStyle w:val="Hyperlink"/>
          </w:rPr>
          <w:t xml:space="preserve">https://doi.org/10.25923/1wwh-q418</w:t>
        </w:r>
      </w:hyperlink>
      <w:r>
        <w:t xml:space="preserve">.</w:t>
      </w:r>
    </w:p>
    <w:bookmarkEnd w:id="255"/>
    <w:bookmarkStart w:id="257"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56">
        <w:r>
          <w:rPr>
            <w:rStyle w:val="Hyperlink"/>
          </w:rPr>
          <w:t xml:space="preserve">https://doi.org/10.1016/j.fishres.2021.105967</w:t>
        </w:r>
      </w:hyperlink>
      <w:r>
        <w:t xml:space="preserve">.</w:t>
      </w:r>
    </w:p>
    <w:bookmarkEnd w:id="257"/>
    <w:bookmarkStart w:id="259"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58">
        <w:r>
          <w:rPr>
            <w:rStyle w:val="Hyperlink"/>
          </w:rPr>
          <w:t xml:space="preserve">https://doi.org/10.1139/cjfas-2017-0266</w:t>
        </w:r>
      </w:hyperlink>
      <w:r>
        <w:t xml:space="preserve">.</w:t>
      </w:r>
    </w:p>
    <w:bookmarkEnd w:id="259"/>
    <w:bookmarkStart w:id="261"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60">
        <w:r>
          <w:rPr>
            <w:rStyle w:val="Hyperlink"/>
          </w:rPr>
          <w:t xml:space="preserve">https://doi.org/10.1002/lno.11238</w:t>
        </w:r>
      </w:hyperlink>
      <w:r>
        <w:t xml:space="preserve">.</w:t>
      </w:r>
    </w:p>
    <w:bookmarkEnd w:id="261"/>
    <w:bookmarkStart w:id="262"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62"/>
    <w:bookmarkStart w:id="264"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63">
        <w:r>
          <w:rPr>
            <w:rStyle w:val="Hyperlink"/>
          </w:rPr>
          <w:t xml:space="preserve">https://doi.org/10.1016/j.fishres.2015.11.016</w:t>
        </w:r>
      </w:hyperlink>
      <w:r>
        <w:t xml:space="preserve">.</w:t>
      </w:r>
    </w:p>
    <w:bookmarkEnd w:id="264"/>
    <w:bookmarkStart w:id="266"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65">
        <w:r>
          <w:rPr>
            <w:rStyle w:val="Hyperlink"/>
          </w:rPr>
          <w:t xml:space="preserve">https://doi.org/10.1111/1365-2664.13515</w:t>
        </w:r>
      </w:hyperlink>
      <w:r>
        <w:t xml:space="preserve">.</w:t>
      </w:r>
    </w:p>
    <w:bookmarkEnd w:id="266"/>
    <w:bookmarkStart w:id="267"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267"/>
    <w:bookmarkEnd w:id="268"/>
    <w:bookmarkEnd w:id="2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00" Target="media/rId100.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120" Target="media/rId120.png" /><Relationship Type="http://schemas.openxmlformats.org/officeDocument/2006/relationships/image" Id="rId132" Target="media/rId132.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13" Target="media/rId113.png" /><Relationship Type="http://schemas.openxmlformats.org/officeDocument/2006/relationships/image" Id="rId20" Target="media/rId20.png" /><Relationship Type="http://schemas.openxmlformats.org/officeDocument/2006/relationships/image" Id="rId50" Target="media/rId50.png" /><Relationship Type="http://schemas.openxmlformats.org/officeDocument/2006/relationships/image" Id="rId208" Target="media/rId208.png" /><Relationship Type="http://schemas.openxmlformats.org/officeDocument/2006/relationships/image" Id="rId203" Target="media/rId203.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85" Target="media/rId85.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hyperlink" Id="rId242" Target="http://afsc-assessments.github.io/EBSpollock/" TargetMode="External" /><Relationship Type="http://schemas.openxmlformats.org/officeDocument/2006/relationships/hyperlink" Id="rId236" Target="http://florianhartig.github.io/DHARMa/" TargetMode="External" /><Relationship Type="http://schemas.openxmlformats.org/officeDocument/2006/relationships/hyperlink" Id="rId24" Target="https://afsc-assessments.github.io/ebswp/index.html" TargetMode="External" /><Relationship Type="http://schemas.openxmlformats.org/officeDocument/2006/relationships/hyperlink" Id="rId260" Target="https://doi.org/10.1002/lno.11238" TargetMode="External" /><Relationship Type="http://schemas.openxmlformats.org/officeDocument/2006/relationships/hyperlink" Id="rId245" Target="https://doi.org/10.1016/j.fishres.2012.10.012" TargetMode="External" /><Relationship Type="http://schemas.openxmlformats.org/officeDocument/2006/relationships/hyperlink" Id="rId247" Target="https://doi.org/10.1016/j.fishres.2014.01.014" TargetMode="External" /><Relationship Type="http://schemas.openxmlformats.org/officeDocument/2006/relationships/hyperlink" Id="rId263" Target="https://doi.org/10.1016/j.fishres.2015.11.016" TargetMode="External" /><Relationship Type="http://schemas.openxmlformats.org/officeDocument/2006/relationships/hyperlink" Id="rId256" Target="https://doi.org/10.1016/j.fishres.2021.105967" TargetMode="External" /><Relationship Type="http://schemas.openxmlformats.org/officeDocument/2006/relationships/hyperlink" Id="rId225" Target="https://doi.org/10.1016/j.fishres.2022.106303" TargetMode="External" /><Relationship Type="http://schemas.openxmlformats.org/officeDocument/2006/relationships/hyperlink" Id="rId233" Target="https://doi.org/10.1080/10618600.1996.10474708" TargetMode="External" /><Relationship Type="http://schemas.openxmlformats.org/officeDocument/2006/relationships/hyperlink" Id="rId249" Target="https://doi.org/10.1093/icesjms/fsab078" TargetMode="External" /><Relationship Type="http://schemas.openxmlformats.org/officeDocument/2006/relationships/hyperlink" Id="rId227" Target="https://doi.org/10.1101/2022.03.24.485545" TargetMode="External" /><Relationship Type="http://schemas.openxmlformats.org/officeDocument/2006/relationships/hyperlink" Id="rId265" Target="https://doi.org/10.1111/1365-2664.13515" TargetMode="External" /><Relationship Type="http://schemas.openxmlformats.org/officeDocument/2006/relationships/hyperlink" Id="rId231" Target="https://doi.org/10.1111/faf.12891" TargetMode="External" /><Relationship Type="http://schemas.openxmlformats.org/officeDocument/2006/relationships/hyperlink" Id="rId251" Target="https://doi.org/10.1111/fog.12494" TargetMode="External" /><Relationship Type="http://schemas.openxmlformats.org/officeDocument/2006/relationships/hyperlink" Id="rId258" Target="https://doi.org/10.1139/cjfas-2017-0266" TargetMode="External" /><Relationship Type="http://schemas.openxmlformats.org/officeDocument/2006/relationships/hyperlink" Id="rId238" Target="https://doi.org/10.1139/cjfas-2018-0112" TargetMode="External" /><Relationship Type="http://schemas.openxmlformats.org/officeDocument/2006/relationships/hyperlink" Id="rId254" Target="https://doi.org/10.25923/1wwh-q418" TargetMode="External" /><Relationship Type="http://schemas.openxmlformats.org/officeDocument/2006/relationships/hyperlink" Id="rId145" Target="https://github.com/noaa-afsc/EBS_pollock/tree/main/runs/SAM/poll24" TargetMode="External" /><Relationship Type="http://schemas.openxmlformats.org/officeDocument/2006/relationships/hyperlink" Id="rId171" Target="https://github.com/noaa-afsc/EBS_pollock/tree/main/runs/wham" TargetMode="External" /><Relationship Type="http://schemas.openxmlformats.org/officeDocument/2006/relationships/hyperlink" Id="rId240"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42" Target="http://afsc-assessments.github.io/EBSpollock/" TargetMode="External" /><Relationship Type="http://schemas.openxmlformats.org/officeDocument/2006/relationships/hyperlink" Id="rId236" Target="http://florianhartig.github.io/DHARMa/" TargetMode="External" /><Relationship Type="http://schemas.openxmlformats.org/officeDocument/2006/relationships/hyperlink" Id="rId24" Target="https://afsc-assessments.github.io/ebswp/index.html" TargetMode="External" /><Relationship Type="http://schemas.openxmlformats.org/officeDocument/2006/relationships/hyperlink" Id="rId260" Target="https://doi.org/10.1002/lno.11238" TargetMode="External" /><Relationship Type="http://schemas.openxmlformats.org/officeDocument/2006/relationships/hyperlink" Id="rId245" Target="https://doi.org/10.1016/j.fishres.2012.10.012" TargetMode="External" /><Relationship Type="http://schemas.openxmlformats.org/officeDocument/2006/relationships/hyperlink" Id="rId247" Target="https://doi.org/10.1016/j.fishres.2014.01.014" TargetMode="External" /><Relationship Type="http://schemas.openxmlformats.org/officeDocument/2006/relationships/hyperlink" Id="rId263" Target="https://doi.org/10.1016/j.fishres.2015.11.016" TargetMode="External" /><Relationship Type="http://schemas.openxmlformats.org/officeDocument/2006/relationships/hyperlink" Id="rId256" Target="https://doi.org/10.1016/j.fishres.2021.105967" TargetMode="External" /><Relationship Type="http://schemas.openxmlformats.org/officeDocument/2006/relationships/hyperlink" Id="rId225" Target="https://doi.org/10.1016/j.fishres.2022.106303" TargetMode="External" /><Relationship Type="http://schemas.openxmlformats.org/officeDocument/2006/relationships/hyperlink" Id="rId233" Target="https://doi.org/10.1080/10618600.1996.10474708" TargetMode="External" /><Relationship Type="http://schemas.openxmlformats.org/officeDocument/2006/relationships/hyperlink" Id="rId249" Target="https://doi.org/10.1093/icesjms/fsab078" TargetMode="External" /><Relationship Type="http://schemas.openxmlformats.org/officeDocument/2006/relationships/hyperlink" Id="rId227" Target="https://doi.org/10.1101/2022.03.24.485545" TargetMode="External" /><Relationship Type="http://schemas.openxmlformats.org/officeDocument/2006/relationships/hyperlink" Id="rId265" Target="https://doi.org/10.1111/1365-2664.13515" TargetMode="External" /><Relationship Type="http://schemas.openxmlformats.org/officeDocument/2006/relationships/hyperlink" Id="rId231" Target="https://doi.org/10.1111/faf.12891" TargetMode="External" /><Relationship Type="http://schemas.openxmlformats.org/officeDocument/2006/relationships/hyperlink" Id="rId251" Target="https://doi.org/10.1111/fog.12494" TargetMode="External" /><Relationship Type="http://schemas.openxmlformats.org/officeDocument/2006/relationships/hyperlink" Id="rId258" Target="https://doi.org/10.1139/cjfas-2017-0266" TargetMode="External" /><Relationship Type="http://schemas.openxmlformats.org/officeDocument/2006/relationships/hyperlink" Id="rId238" Target="https://doi.org/10.1139/cjfas-2018-0112" TargetMode="External" /><Relationship Type="http://schemas.openxmlformats.org/officeDocument/2006/relationships/hyperlink" Id="rId254" Target="https://doi.org/10.25923/1wwh-q418" TargetMode="External" /><Relationship Type="http://schemas.openxmlformats.org/officeDocument/2006/relationships/hyperlink" Id="rId145" Target="https://github.com/noaa-afsc/EBS_pollock/tree/main/runs/SAM/poll24" TargetMode="External" /><Relationship Type="http://schemas.openxmlformats.org/officeDocument/2006/relationships/hyperlink" Id="rId171" Target="https://github.com/noaa-afsc/EBS_pollock/tree/main/runs/wham" TargetMode="External" /><Relationship Type="http://schemas.openxmlformats.org/officeDocument/2006/relationships/hyperlink" Id="rId240"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2025-08-12T05:09:46Z</dcterms:created>
  <dcterms:modified xsi:type="dcterms:W3CDTF">2025-08-12T05:09:46Z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