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45.png" ContentType="image/png"/>
  <Override PartName="/word/media/rId149.png" ContentType="image/png"/>
  <Override PartName="/word/media/rId109.png" ContentType="image/png"/>
  <Override PartName="/word/media/rId113.png" ContentType="image/png"/>
  <Override PartName="/word/media/rId133.png" ContentType="image/png"/>
  <Override PartName="/word/media/rId137.png" ContentType="image/png"/>
  <Override PartName="/word/media/rId119.png" ContentType="image/png"/>
  <Override PartName="/word/media/rId123.png" ContentType="image/png"/>
  <Override PartName="/word/media/rId127.png" ContentType="image/png"/>
  <Override PartName="/word/media/rId154.png" ContentType="image/png"/>
  <Override PartName="/word/media/rId158.png" ContentType="image/png"/>
  <Override PartName="/word/media/rId162.png" ContentType="image/png"/>
  <Override PartName="/word/media/rId93.png" ContentType="image/png"/>
  <Override PartName="/word/media/rId105.png" ContentType="image/png"/>
  <Override PartName="/word/media/rId97.png" ContentType="image/png"/>
  <Override PartName="/word/media/rId101.png" ContentType="image/png"/>
  <Override PartName="/word/media/rId173.png" ContentType="image/png"/>
  <Override PartName="/word/media/rId168.png" ContentType="image/png"/>
  <Override PartName="/word/media/rId63.png" ContentType="image/png"/>
  <Override PartName="/word/media/rId59.png" ContentType="image/png"/>
  <Override PartName="/word/media/rId27.png" ContentType="image/png"/>
  <Override PartName="/word/media/rId23.png" ContentType="image/png"/>
  <Override PartName="/word/media/rId43.png" ContentType="image/png"/>
  <Override PartName="/word/media/rId55.png" ContentType="image/png"/>
  <Override PartName="/word/media/rId82.png" ContentType="image/png"/>
  <Override PartName="/word/media/rId86.png" ContentType="image/png"/>
  <Override PartName="/word/media/rId78.png" ContentType="image/png"/>
  <Override PartName="/word/media/rId74.png" ContentType="image/png"/>
  <Override PartName="/word/media/rId70.png" ContentType="image/png"/>
  <Override PartName="/word/media/rId51.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w:t>
      </w:r>
      <w:r>
        <w:t xml:space="preserve"> </w:t>
      </w:r>
      <w:r>
        <w:t xml:space="preserve">paper</w:t>
      </w:r>
      <w:r>
        <w:t xml:space="preserve"> </w:t>
      </w:r>
      <w:r>
        <w:t xml:space="preserve">for</w:t>
      </w:r>
      <w:r>
        <w:t xml:space="preserve"> </w:t>
      </w:r>
      <w:r>
        <w:t xml:space="preserve">CIE</w:t>
      </w:r>
      <w:r>
        <w:t xml:space="preserve"> </w:t>
      </w:r>
      <w:r>
        <w:t xml:space="preserve">review</w:t>
      </w:r>
      <w:r>
        <w:t xml:space="preserve"> </w:t>
      </w:r>
      <w:r>
        <w:t xml:space="preserve">of</w:t>
      </w:r>
      <w:r>
        <w:t xml:space="preserve"> </w:t>
      </w:r>
      <w:r>
        <w:t xml:space="preserve">the</w:t>
      </w:r>
      <w:r>
        <w:t xml:space="preserve"> </w:t>
      </w:r>
      <w:r>
        <w:t xml:space="preserve">eastern</w:t>
      </w:r>
      <w:r>
        <w:t xml:space="preserve"> </w:t>
      </w:r>
      <w:r>
        <w:t xml:space="preserve">Bering</w:t>
      </w:r>
      <w:r>
        <w:t xml:space="preserve"> </w:t>
      </w:r>
      <w:r>
        <w:t xml:space="preserve">Sea</w:t>
      </w:r>
      <w:r>
        <w:t xml:space="preserve"> </w:t>
      </w:r>
      <w:r>
        <w:t xml:space="preserve">walleye</w:t>
      </w:r>
      <w:r>
        <w:t xml:space="preserve"> </w:t>
      </w:r>
      <w:r>
        <w:t xml:space="preserve">pollock</w:t>
      </w:r>
      <w:r>
        <w:t xml:space="preserve"> </w:t>
      </w:r>
      <w:r>
        <w:t xml:space="preserve">stock</w:t>
      </w:r>
      <w:r>
        <w:t xml:space="preserve"> </w:t>
      </w:r>
      <w:r>
        <w:t xml:space="preserve">assessment</w:t>
      </w:r>
    </w:p>
    <w:p>
      <w:pPr>
        <w:pStyle w:val="Subtitle"/>
      </w:pPr>
      <w:r>
        <w:t xml:space="preserve">May</w:t>
      </w:r>
      <w:r>
        <w:t xml:space="preserve"> </w:t>
      </w:r>
      <w:r>
        <w:t xml:space="preserve">2025,</w:t>
      </w:r>
      <w:r>
        <w:t xml:space="preserve"> </w:t>
      </w:r>
      <w:r>
        <w:t xml:space="preserve">CIE</w:t>
      </w:r>
      <w:r>
        <w:t xml:space="preserve"> </w:t>
      </w:r>
      <w:r>
        <w:t xml:space="preserve">review</w:t>
      </w:r>
    </w:p>
    <w:p>
      <w:pPr>
        <w:pStyle w:val="Author"/>
      </w:pPr>
      <w:r>
        <w:t xml:space="preserve">Jim</w:t>
      </w:r>
      <w:r>
        <w:t xml:space="preserve"> </w:t>
      </w:r>
      <w:r>
        <w:t xml:space="preserve">Ianelli,</w:t>
      </w:r>
      <w:r>
        <w:t xml:space="preserve"> </w:t>
      </w:r>
      <w:r>
        <w:t xml:space="preserve">Carey</w:t>
      </w:r>
      <w:r>
        <w:t xml:space="preserve"> </w:t>
      </w:r>
      <w:r>
        <w:t xml:space="preserve">McGilliard,</w:t>
      </w:r>
      <w:r>
        <w:t xml:space="preserve"> </w:t>
      </w:r>
      <w:r>
        <w:t xml:space="preserve">Sofia</w:t>
      </w:r>
      <w:r>
        <w:t xml:space="preserve"> </w:t>
      </w:r>
      <w:r>
        <w:t xml:space="preserve">Wassermann</w:t>
      </w:r>
    </w:p>
    <w:p>
      <w:pPr>
        <w:pStyle w:val="Date"/>
      </w:pPr>
      <w:r>
        <w:t xml:space="preserve">2025-05-01</w:t>
      </w:r>
      <w:r>
        <w:t xml:space="preserve"> </w:t>
      </w:r>
      <w:r>
        <w:t xml:space="preserve">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68"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47"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r>
        <w:rPr>
          <w:b/>
          <w:bCs/>
        </w:rPr>
        <w:t xml:space="preserve">?@fig-dataExtent</w:t>
      </w:r>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bookmarkEnd w:id="47"/>
    <w:bookmarkStart w:id="67"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48"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48"/>
        </w:tc>
      </w:tr>
    </w:tbl>
    <w:tbl>
      <w:tblPr>
        <w:tblStyle w:val="Table"/>
        <w:tblW w:type="pct" w:w="5000"/>
        <w:tblLayout w:type="fixed"/>
        <w:tblLook w:firstRow="0" w:lastRow="0" w:firstColumn="0" w:lastColumn="0" w:noHBand="0" w:noVBand="0" w:val="0000"/>
      </w:tblPr>
      <w:tblGrid>
        <w:gridCol w:w="7920"/>
      </w:tblGrid>
      <w:tr>
        <w:tc>
          <w:tcPr/>
          <w:bookmarkStart w:id="49"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0"/>
        </w:tc>
      </w:tr>
    </w:tbl>
    <w:tbl>
      <w:tblPr>
        <w:tblStyle w:val="Table"/>
        <w:tblW w:type="pct" w:w="5000"/>
        <w:tblLayout w:type="fixed"/>
        <w:tblLook w:firstRow="0" w:lastRow="0" w:firstColumn="0" w:lastColumn="0" w:noHBand="0" w:noVBand="0" w:val="0000"/>
      </w:tblPr>
      <w:tblGrid>
        <w:gridCol w:w="7920"/>
      </w:tblGrid>
      <w:tr>
        <w:tc>
          <w:tcPr/>
          <w:bookmarkStart w:id="54" w:name="fig-mod_fit_agg_comp"/>
          <w:p>
            <w:pPr>
              <w:pStyle w:val="Compact"/>
              <w:jc w:val="center"/>
            </w:pPr>
            <w:r>
              <w:drawing>
                <wp:inline>
                  <wp:extent cx="5334000" cy="2845836"/>
                  <wp:effectExtent b="0" l="0" r="0" t="0"/>
                  <wp:docPr descr="" title="" id="52" name="Picture"/>
                  <a:graphic>
                    <a:graphicData uri="http://schemas.openxmlformats.org/drawingml/2006/picture">
                      <pic:pic>
                        <pic:nvPicPr>
                          <pic:cNvPr descr="figs/mod_fit_agg_comp.png" id="53" name="Picture"/>
                          <pic:cNvPicPr>
                            <a:picLocks noChangeArrowheads="1" noChangeAspect="1"/>
                          </pic:cNvPicPr>
                        </pic:nvPicPr>
                        <pic:blipFill>
                          <a:blip r:embed="rId51"/>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One-step ahead residuals for different model specifications for the fishery composition data</w:t>
            </w:r>
          </w:p>
          <w:bookmarkEnd w:id="54"/>
        </w:tc>
      </w:tr>
    </w:tbl>
    <w:tbl>
      <w:tblPr>
        <w:tblStyle w:val="Table"/>
        <w:tblW w:type="pct" w:w="5000"/>
        <w:tblLayout w:type="fixed"/>
        <w:tblLook w:firstRow="0" w:lastRow="0" w:firstColumn="0" w:lastColumn="0" w:noHBand="0" w:noVBand="0" w:val="0000"/>
      </w:tblPr>
      <w:tblGrid>
        <w:gridCol w:w="7920"/>
      </w:tblGrid>
      <w:tr>
        <w:tc>
          <w:tcPr/>
          <w:bookmarkStart w:id="58" w:name="fig-bts_fish"/>
          <w:p>
            <w:pPr>
              <w:pStyle w:val="Compact"/>
              <w:jc w:val="center"/>
            </w:pPr>
            <w:r>
              <w:drawing>
                <wp:inline>
                  <wp:extent cx="5334000" cy="2720975"/>
                  <wp:effectExtent b="0" l="0" r="0" t="0"/>
                  <wp:docPr descr="" title="" id="56" name="Picture"/>
                  <a:graphic>
                    <a:graphicData uri="http://schemas.openxmlformats.org/drawingml/2006/picture">
                      <pic:pic>
                        <pic:nvPicPr>
                          <pic:cNvPr descr="figs/fish_osa.png" id="57" name="Picture"/>
                          <pic:cNvPicPr>
                            <a:picLocks noChangeArrowheads="1" noChangeAspect="1"/>
                          </pic:cNvPicPr>
                        </pic:nvPicPr>
                        <pic:blipFill>
                          <a:blip r:embed="rId55"/>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osa"/>
          <w:p>
            <w:pPr>
              <w:pStyle w:val="Compact"/>
              <w:jc w:val="center"/>
            </w:pPr>
            <w:r>
              <w:drawing>
                <wp:inline>
                  <wp:extent cx="5334000" cy="2757516"/>
                  <wp:effectExtent b="0" l="0" r="0" t="0"/>
                  <wp:docPr descr="" title="" id="60" name="Picture"/>
                  <a:graphic>
                    <a:graphicData uri="http://schemas.openxmlformats.org/drawingml/2006/picture">
                      <pic:pic>
                        <pic:nvPicPr>
                          <pic:cNvPr descr="figs/bts_osa.png" id="61" name="Picture"/>
                          <pic:cNvPicPr>
                            <a:picLocks noChangeArrowheads="1" noChangeAspect="1"/>
                          </pic:cNvPicPr>
                        </pic:nvPicPr>
                        <pic:blipFill>
                          <a:blip r:embed="rId59"/>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bottom-trawl survey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ats_osa"/>
          <w:p>
            <w:pPr>
              <w:pStyle w:val="Compact"/>
              <w:jc w:val="center"/>
            </w:pPr>
            <w:r>
              <w:drawing>
                <wp:inline>
                  <wp:extent cx="5334000" cy="2714795"/>
                  <wp:effectExtent b="0" l="0" r="0" t="0"/>
                  <wp:docPr descr="" title="" id="64" name="Picture"/>
                  <a:graphic>
                    <a:graphicData uri="http://schemas.openxmlformats.org/drawingml/2006/picture">
                      <pic:pic>
                        <pic:nvPicPr>
                          <pic:cNvPr descr="figs/ats_osa.png" id="65" name="Picture"/>
                          <pic:cNvPicPr>
                            <a:picLocks noChangeArrowheads="1" noChangeAspect="1"/>
                          </pic:cNvPicPr>
                        </pic:nvPicPr>
                        <pic:blipFill>
                          <a:blip r:embed="rId63"/>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acoustic-trawl survey composition data</w:t>
            </w:r>
          </w:p>
          <w:bookmarkEnd w:id="66"/>
        </w:tc>
      </w:tr>
    </w:tbl>
    <w:bookmarkEnd w:id="67"/>
    <w:bookmarkEnd w:id="68"/>
    <w:bookmarkStart w:id="92"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69"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69"/>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11</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12</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13</w:t>
        </w:r>
      </w:hyperlink>
      <w:r>
        <w:t xml:space="preserve">,</w:t>
      </w:r>
      <w:r>
        <w:t xml:space="preserve"> </w:t>
      </w:r>
      <w:hyperlink w:anchor="fig-loo-ats-index">
        <w:r>
          <w:rPr>
            <w:rStyle w:val="Hyperlink"/>
          </w:rPr>
          <w:t xml:space="preserve">Figure 14</w:t>
        </w:r>
      </w:hyperlink>
      <w:r>
        <w:t xml:space="preserve">, and</w:t>
      </w:r>
      <w:r>
        <w:t xml:space="preserve"> </w:t>
      </w:r>
      <w:hyperlink w:anchor="fig-loo-avo-index">
        <w:r>
          <w:rPr>
            <w:rStyle w:val="Hyperlink"/>
          </w:rPr>
          <w:t xml:space="preserve">Figure 15</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w:t>
      </w:r>
      <w:r>
        <w:t xml:space="preserve">VPA</w:t>
      </w:r>
      <w:r>
        <w:t xml:space="preserve">”</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3" w:name="fig-loo-ssb"/>
          <w:p>
            <w:pPr>
              <w:pStyle w:val="Compact"/>
              <w:jc w:val="center"/>
            </w:pPr>
            <w:r>
              <w:drawing>
                <wp:inline>
                  <wp:extent cx="5334000" cy="2667000"/>
                  <wp:effectExtent b="0" l="0" r="0" t="0"/>
                  <wp:docPr descr="" title="" id="71" name="Picture"/>
                  <a:graphic>
                    <a:graphicData uri="http://schemas.openxmlformats.org/drawingml/2006/picture">
                      <pic:pic>
                        <pic:nvPicPr>
                          <pic:cNvPr descr="figs/loo_rel_ssb.png" id="72" name="Picture"/>
                          <pic:cNvPicPr>
                            <a:picLocks noChangeArrowheads="1" noChangeAspect="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Comparison of spawning biomass (SSB) relative to the 2024 accepted model for models that downweight one data source at a time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loo-recruitment"/>
          <w:p>
            <w:pPr>
              <w:pStyle w:val="Compact"/>
              <w:jc w:val="center"/>
            </w:pPr>
            <w:r>
              <w:drawing>
                <wp:inline>
                  <wp:extent cx="5334000" cy="1777999"/>
                  <wp:effectExtent b="0" l="0" r="0" t="0"/>
                  <wp:docPr descr="" title="" id="75" name="Picture"/>
                  <a:graphic>
                    <a:graphicData uri="http://schemas.openxmlformats.org/drawingml/2006/picture">
                      <pic:pic>
                        <pic:nvPicPr>
                          <pic:cNvPr descr="figs/loo_recruits.png" id="76" name="Picture"/>
                          <pic:cNvPicPr>
                            <a:picLocks noChangeArrowheads="1" noChangeAspect="1"/>
                          </pic:cNvPicPr>
                        </pic:nvPicPr>
                        <pic:blipFill>
                          <a:blip r:embed="rId74"/>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recruitment estimates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bts-index"/>
          <w:p>
            <w:pPr>
              <w:pStyle w:val="Compact"/>
              <w:jc w:val="center"/>
            </w:pPr>
            <w:r>
              <w:drawing>
                <wp:inline>
                  <wp:extent cx="5334000" cy="2667000"/>
                  <wp:effectExtent b="0" l="0" r="0" t="0"/>
                  <wp:docPr descr="" title="" id="79" name="Picture"/>
                  <a:graphic>
                    <a:graphicData uri="http://schemas.openxmlformats.org/drawingml/2006/picture">
                      <pic:pic>
                        <pic:nvPicPr>
                          <pic:cNvPr descr="figs/loo_bts_index.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fits to the Eastern Bering Sea Bottom Trawl Survey (BTS) biomass index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a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a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Acoustic Trawl Survey (ATS)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vo-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vo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Vessels of Opportunity (AVO)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0"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0"/>
        </w:tc>
      </w:tr>
    </w:tbl>
    <w:tbl>
      <w:tblPr>
        <w:tblStyle w:val="Table"/>
        <w:tblW w:type="pct" w:w="5000"/>
        <w:tblLayout w:type="fixed"/>
        <w:tblLook w:firstRow="0" w:lastRow="0" w:firstColumn="0" w:lastColumn="0" w:noHBand="0" w:noVBand="0" w:val="0000"/>
      </w:tblPr>
      <w:tblGrid>
        <w:gridCol w:w="7920"/>
      </w:tblGrid>
      <w:tr>
        <w:tc>
          <w:tcPr/>
          <w:bookmarkStart w:id="91"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1"/>
        </w:tc>
      </w:tr>
    </w:tbl>
    <w:bookmarkEnd w:id="92"/>
    <w:bookmarkStart w:id="167" w:name="alternative-assessment-software"/>
    <w:p>
      <w:pPr>
        <w:pStyle w:val="Heading1"/>
      </w:pPr>
      <w:r>
        <w:t xml:space="preserve">Alternative assessment software</w:t>
      </w:r>
    </w:p>
    <w:bookmarkStart w:id="117"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16</w:t>
        </w:r>
      </w:hyperlink>
      <w:r>
        <w:t xml:space="preserve">). These showed the impact on the uncertainty and stock trends</w:t>
      </w:r>
      <w:r>
        <w:t xml:space="preserve"> </w:t>
      </w:r>
      <w:r>
        <w:t xml:space="preserve">(</w:t>
      </w:r>
      <w:hyperlink w:anchor="fig-synts-1">
        <w:r>
          <w:rPr>
            <w:rStyle w:val="Hyperlink"/>
          </w:rPr>
          <w:t xml:space="preserve">Figure 17</w:t>
        </w:r>
      </w:hyperlink>
      <w:r>
        <w:t xml:space="preserve"> </w:t>
      </w:r>
      <w:r>
        <w:t xml:space="preserve">for SSB and</w:t>
      </w:r>
      <w:r>
        <w:t xml:space="preserve"> </w:t>
      </w:r>
      <w:hyperlink w:anchor="fig-synts-2">
        <w:r>
          <w:rPr>
            <w:rStyle w:val="Hyperlink"/>
          </w:rPr>
          <w:t xml:space="preserve">Figure 18</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96" w:name="fig-ss3"/>
          <w:p>
            <w:pPr>
              <w:pStyle w:val="Compact"/>
              <w:jc w:val="center"/>
            </w:pPr>
            <w:r>
              <w:drawing>
                <wp:inline>
                  <wp:extent cx="4620126" cy="3696101"/>
                  <wp:effectExtent b="0" l="0" r="0" t="0"/>
                  <wp:docPr descr="" title="" id="94" name="Picture"/>
                  <a:graphic>
                    <a:graphicData uri="http://schemas.openxmlformats.org/drawingml/2006/picture">
                      <pic:pic>
                        <pic:nvPicPr>
                          <pic:cNvPr descr="CIE_files/figure-docx/fig-ss3-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Model results comparing three different SS3 model configurations. The models are the base model (Base), the constrained model (Constrained), and the flexible model (Flexible).</w:t>
            </w:r>
          </w:p>
          <w:bookmarkEnd w:id="96"/>
        </w:tc>
      </w:tr>
    </w:tbl>
    <w:tbl>
      <w:tblPr>
        <w:tblStyle w:val="Table"/>
        <w:tblW w:type="pct" w:w="5000"/>
        <w:tblLayout w:type="fixed"/>
        <w:tblLook w:firstRow="0" w:lastRow="0" w:firstColumn="0" w:lastColumn="0" w:noHBand="0" w:noVBand="0" w:val="0000"/>
      </w:tblPr>
      <w:tblGrid>
        <w:gridCol w:w="7920"/>
      </w:tblGrid>
      <w:tr>
        <w:tc>
          <w:tcPr/>
          <w:bookmarkStart w:id="100" w:name="fig-synts-1"/>
          <w:p>
            <w:pPr>
              <w:pStyle w:val="Compact"/>
              <w:jc w:val="center"/>
            </w:pPr>
            <w:r>
              <w:drawing>
                <wp:inline>
                  <wp:extent cx="4620126" cy="3696101"/>
                  <wp:effectExtent b="0" l="0" r="0" t="0"/>
                  <wp:docPr descr="" title="" id="98" name="Picture"/>
                  <a:graphic>
                    <a:graphicData uri="http://schemas.openxmlformats.org/drawingml/2006/picture">
                      <pic:pic>
                        <pic:nvPicPr>
                          <pic:cNvPr descr="CIE_files/figure-docx/fig-synts-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the time-series for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2"/>
          <w:p>
            <w:pPr>
              <w:pStyle w:val="Compact"/>
              <w:jc w:val="center"/>
            </w:pPr>
            <w:r>
              <w:drawing>
                <wp:inline>
                  <wp:extent cx="4620126" cy="3696101"/>
                  <wp:effectExtent b="0" l="0" r="0" t="0"/>
                  <wp:docPr descr="" title="" id="102" name="Picture"/>
                  <a:graphic>
                    <a:graphicData uri="http://schemas.openxmlformats.org/drawingml/2006/picture">
                      <pic:pic>
                        <pic:nvPicPr>
                          <pic:cNvPr descr="CIE_files/figure-docx/fig-synts-2.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p>
      <w:pPr>
        <w:pStyle w:val="BodyText"/>
      </w:pPr>
      <w:r>
        <w:t xml:space="preserve">Comparing the</w:t>
      </w:r>
      <w:r>
        <w:t xml:space="preserve"> </w:t>
      </w:r>
      <w:r>
        <w:t xml:space="preserve">“</w:t>
      </w:r>
      <w:r>
        <w:t xml:space="preserve">base</w:t>
      </w:r>
      <w:r>
        <w:t xml:space="preserv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19</w:t>
        </w:r>
      </w:hyperlink>
      <w:r>
        <w:t xml:space="preserve">) but slight differences in SSB and recruitment estimates</w:t>
      </w:r>
      <w:r>
        <w:t xml:space="preserve"> </w:t>
      </w:r>
      <w:r>
        <w:t xml:space="preserve">(</w:t>
      </w:r>
      <w:hyperlink w:anchor="fig-pmvss3-1">
        <w:r>
          <w:rPr>
            <w:rStyle w:val="Hyperlink"/>
          </w:rPr>
          <w:t xml:space="preserve">Figure 20</w:t>
        </w:r>
      </w:hyperlink>
      <w:r>
        <w:t xml:space="preserve"> </w:t>
      </w:r>
      <w:r>
        <w:t xml:space="preserve">and</w:t>
      </w:r>
      <w:r>
        <w:t xml:space="preserve"> </w:t>
      </w:r>
      <w:hyperlink w:anchor="fig-pmvss3-2">
        <w:r>
          <w:rPr>
            <w:rStyle w:val="Hyperlink"/>
          </w:rPr>
          <w:t xml:space="preserve">Figure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fig-ss3vpmsel"/>
          <w:p>
            <w:pPr>
              <w:pStyle w:val="Compact"/>
              <w:jc w:val="center"/>
            </w:pPr>
            <w:r>
              <w:drawing>
                <wp:inline>
                  <wp:extent cx="4620126" cy="3696101"/>
                  <wp:effectExtent b="0" l="0" r="0" t="0"/>
                  <wp:docPr descr="" title="" id="106" name="Picture"/>
                  <a:graphic>
                    <a:graphicData uri="http://schemas.openxmlformats.org/drawingml/2006/picture">
                      <pic:pic>
                        <pic:nvPicPr>
                          <pic:cNvPr descr="CIE_files/figure-docx/fig-ss3vpmsel-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selectivity estimates between the base SS3 model configuration and the pollock model accepted in 2024.</w:t>
            </w:r>
          </w:p>
          <w:bookmarkEnd w:id="108"/>
        </w:tc>
      </w:tr>
    </w:tbl>
    <w:tbl>
      <w:tblPr>
        <w:tblStyle w:val="Table"/>
        <w:tblW w:type="pct" w:w="5000"/>
        <w:tblLayout w:type="fixed"/>
        <w:tblLook w:firstRow="0" w:lastRow="0" w:firstColumn="0" w:lastColumn="0" w:noHBand="0" w:noVBand="0" w:val="0000"/>
      </w:tblPr>
      <w:tblGrid>
        <w:gridCol w:w="7920"/>
      </w:tblGrid>
      <w:tr>
        <w:tc>
          <w:tcPr/>
          <w:bookmarkStart w:id="112" w:name="fig-pmvss3-1"/>
          <w:p>
            <w:pPr>
              <w:pStyle w:val="Compact"/>
              <w:jc w:val="center"/>
            </w:pPr>
            <w:r>
              <w:drawing>
                <wp:inline>
                  <wp:extent cx="4620126" cy="3696101"/>
                  <wp:effectExtent b="0" l="0" r="0" t="0"/>
                  <wp:docPr descr="" title="" id="110" name="Picture"/>
                  <a:graphic>
                    <a:graphicData uri="http://schemas.openxmlformats.org/drawingml/2006/picture">
                      <pic:pic>
                        <pic:nvPicPr>
                          <pic:cNvPr descr="CIE_files/figure-docx/fig-pmvss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the base SS3 model configuration with the model used for pollock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2"/>
          <w:p>
            <w:pPr>
              <w:pStyle w:val="Compact"/>
              <w:jc w:val="center"/>
            </w:pPr>
            <w:r>
              <w:drawing>
                <wp:inline>
                  <wp:extent cx="4620126" cy="3696101"/>
                  <wp:effectExtent b="0" l="0" r="0" t="0"/>
                  <wp:docPr descr="" title="" id="114" name="Picture"/>
                  <a:graphic>
                    <a:graphicData uri="http://schemas.openxmlformats.org/drawingml/2006/picture">
                      <pic:pic>
                        <pic:nvPicPr>
                          <pic:cNvPr descr="CIE_files/figure-docx/fig-pmvss3-2.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bookmarkEnd w:id="117"/>
    <w:bookmarkStart w:id="131"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18">
        <w:r>
          <w:rPr>
            <w:rStyle w:val="Hyperlink"/>
          </w:rPr>
          <w:t xml:space="preserve">here</w:t>
        </w:r>
      </w:hyperlink>
      <w:r>
        <w:t xml:space="preserve">).</w:t>
      </w:r>
      <w:r>
        <w:t xml:space="preserve"> </w:t>
      </w:r>
      <w:r>
        <w:t xml:space="preserve">Comparing</w:t>
      </w:r>
      <w:r>
        <w:t xml:space="preserve"> </w:t>
      </w:r>
      <w:r>
        <w:t xml:space="preserve">“</w:t>
      </w:r>
      <w:r>
        <w:t xml:space="preserve">selectivity</w:t>
      </w:r>
      <w:r>
        <w:t xml:space="preserve">”</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fig-sam"/>
          <w:p>
            <w:pPr>
              <w:pStyle w:val="Compact"/>
              <w:jc w:val="center"/>
            </w:pPr>
            <w:r>
              <w:drawing>
                <wp:inline>
                  <wp:extent cx="4620126" cy="3696101"/>
                  <wp:effectExtent b="0" l="0" r="0" t="0"/>
                  <wp:docPr descr="" title="" id="120" name="Picture"/>
                  <a:graphic>
                    <a:graphicData uri="http://schemas.openxmlformats.org/drawingml/2006/picture">
                      <pic:pic>
                        <pic:nvPicPr>
                          <pic:cNvPr descr="CIE_files/figure-docx/fig-sam-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last year’s model with the SAM model.</w:t>
            </w:r>
          </w:p>
          <w:bookmarkEnd w:id="122"/>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23</w:t>
        </w:r>
      </w:hyperlink>
      <w:r>
        <w:t xml:space="preserve">). The recruitment estimates are similar as well</w:t>
      </w:r>
      <w:r>
        <w:t xml:space="preserve"> </w:t>
      </w:r>
      <w:r>
        <w:t xml:space="preserve">(</w:t>
      </w:r>
      <w:hyperlink w:anchor="fig-samts-2">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ts-1"/>
          <w:p>
            <w:pPr>
              <w:pStyle w:val="Compact"/>
              <w:jc w:val="center"/>
            </w:pPr>
            <w:r>
              <w:drawing>
                <wp:inline>
                  <wp:extent cx="4620126" cy="3696101"/>
                  <wp:effectExtent b="0" l="0" r="0" t="0"/>
                  <wp:docPr descr="" title="" id="124" name="Picture"/>
                  <a:graphic>
                    <a:graphicData uri="http://schemas.openxmlformats.org/drawingml/2006/picture">
                      <pic:pic>
                        <pic:nvPicPr>
                          <pic:cNvPr descr="CIE_files/figure-docx/fig-samts-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 for spawning biomass (top) and recruitment at age 1 (bottom).</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amts-2"/>
          <w:p>
            <w:pPr>
              <w:pStyle w:val="Compact"/>
              <w:jc w:val="center"/>
            </w:pPr>
            <w:r>
              <w:drawing>
                <wp:inline>
                  <wp:extent cx="4620126" cy="3696101"/>
                  <wp:effectExtent b="0" l="0" r="0" t="0"/>
                  <wp:docPr descr="" title="" id="128" name="Picture"/>
                  <a:graphic>
                    <a:graphicData uri="http://schemas.openxmlformats.org/drawingml/2006/picture">
                      <pic:pic>
                        <pic:nvPicPr>
                          <pic:cNvPr descr="CIE_files/figure-docx/fig-samts-2.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bookmarkEnd w:id="131"/>
    <w:bookmarkStart w:id="153" w:name="other-models-in-development"/>
    <w:p>
      <w:pPr>
        <w:pStyle w:val="Heading2"/>
      </w:pPr>
      <w:r>
        <w:t xml:space="preserve">Other models in development</w:t>
      </w:r>
    </w:p>
    <w:p>
      <w:pPr>
        <w:pStyle w:val="FirstParagraph"/>
      </w:pPr>
      <w:r>
        <w:t xml:space="preserve">The</w:t>
      </w:r>
      <w:r>
        <w:t xml:space="preserve"> </w:t>
      </w:r>
      <w:r>
        <w:t xml:space="preserve">“</w:t>
      </w:r>
      <w:r>
        <w:t xml:space="preserve">Woods Hole Assessment model</w:t>
      </w:r>
      <w:r>
        <w:t xml:space="preserve">”</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2">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w:t>
      </w:r>
      <w:r>
        <w:t xml:space="preserve">single-species</w:t>
      </w:r>
      <w:r>
        <w:t xml:space="preserve">”</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fig-rceattle"/>
          <w:p>
            <w:pPr>
              <w:pStyle w:val="Compact"/>
              <w:jc w:val="center"/>
            </w:pPr>
            <w:r>
              <w:drawing>
                <wp:inline>
                  <wp:extent cx="4620126" cy="3696101"/>
                  <wp:effectExtent b="0" l="0" r="0" t="0"/>
                  <wp:docPr descr="" title="" id="134" name="Picture"/>
                  <a:graphic>
                    <a:graphicData uri="http://schemas.openxmlformats.org/drawingml/2006/picture">
                      <pic:pic>
                        <pic:nvPicPr>
                          <pic:cNvPr descr="CIE_files/figure-docx/fig-rceattle-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Rceattle model.</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rceattle_ts"/>
          <w:p>
            <w:pPr>
              <w:pStyle w:val="Compact"/>
              <w:jc w:val="center"/>
            </w:pPr>
            <w:r>
              <w:drawing>
                <wp:inline>
                  <wp:extent cx="4620126" cy="3696101"/>
                  <wp:effectExtent b="0" l="0" r="0" t="0"/>
                  <wp:docPr descr="" title="" id="138" name="Picture"/>
                  <a:graphic>
                    <a:graphicData uri="http://schemas.openxmlformats.org/drawingml/2006/picture">
                      <pic:pic>
                        <pic:nvPicPr>
                          <pic:cNvPr descr="CIE_files/figure-docx/fig-rceattle_ts-1.png" id="139" name="Picture"/>
                          <pic:cNvPicPr>
                            <a:picLocks noChangeArrowheads="1" noChangeAspect="1"/>
                          </pic:cNvPicPr>
                        </pic:nvPicPr>
                        <pic:blipFill>
                          <a:blip r:embed="rId13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all"/>
          <w:p>
            <w:pPr>
              <w:pStyle w:val="Compact"/>
              <w:jc w:val="center"/>
            </w:pPr>
            <w:r>
              <w:drawing>
                <wp:inline>
                  <wp:extent cx="4620126" cy="3696101"/>
                  <wp:effectExtent b="0" l="0" r="0" t="0"/>
                  <wp:docPr descr="" title="" id="142" name="Picture"/>
                  <a:graphic>
                    <a:graphicData uri="http://schemas.openxmlformats.org/drawingml/2006/picture">
                      <pic:pic>
                        <pic:nvPicPr>
                          <pic:cNvPr descr="CIE_files/figure-docx/fig-all-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_ts-1"/>
          <w:p>
            <w:pPr>
              <w:pStyle w:val="Compact"/>
              <w:jc w:val="center"/>
            </w:pPr>
            <w:r>
              <w:drawing>
                <wp:inline>
                  <wp:extent cx="4620126" cy="3696101"/>
                  <wp:effectExtent b="0" l="0" r="0" t="0"/>
                  <wp:docPr descr="" title="" id="146" name="Picture"/>
                  <a:graphic>
                    <a:graphicData uri="http://schemas.openxmlformats.org/drawingml/2006/picture">
                      <pic:pic>
                        <pic:nvPicPr>
                          <pic:cNvPr descr="CIE_files/figure-docx/fig-all_ts-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2"/>
          <w:p>
            <w:pPr>
              <w:pStyle w:val="Compact"/>
              <w:jc w:val="center"/>
            </w:pPr>
            <w:r>
              <w:drawing>
                <wp:inline>
                  <wp:extent cx="4620126" cy="3696101"/>
                  <wp:effectExtent b="0" l="0" r="0" t="0"/>
                  <wp:docPr descr="" title="" id="150" name="Picture"/>
                  <a:graphic>
                    <a:graphicData uri="http://schemas.openxmlformats.org/drawingml/2006/picture">
                      <pic:pic>
                        <pic:nvPicPr>
                          <pic:cNvPr descr="CIE_files/figure-docx/fig-all_ts-2.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bookmarkEnd w:id="153"/>
    <w:bookmarkStart w:id="166"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30</w:t>
        </w:r>
      </w:hyperlink>
      <w:r>
        <w:t xml:space="preserve"> </w:t>
      </w:r>
      <w:r>
        <w:t xml:space="preserve">shows the model results comparing time-varying selectivity whereas</w:t>
      </w:r>
      <w:r>
        <w:t xml:space="preserve"> </w:t>
      </w:r>
      <w:hyperlink w:anchor="fig-spock_ts-1">
        <w:r>
          <w:rPr>
            <w:rStyle w:val="Hyperlink"/>
          </w:rPr>
          <w:t xml:space="preserve">Figure 31</w:t>
        </w:r>
      </w:hyperlink>
      <w:r>
        <w:t xml:space="preserve"> </w:t>
      </w:r>
      <w:r>
        <w:t xml:space="preserve">shows the model results time series. The difference in the age-1 recruits (</w:t>
      </w:r>
      <w:hyperlink w:anchor="fig-spock_ts-2">
        <w:r>
          <w:rPr>
            <w:rStyle w:val="Hyperlink"/>
          </w:rPr>
          <w:t xml:space="preserve">Figure 32</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57" w:name="fig-spock_sel"/>
          <w:p>
            <w:pPr>
              <w:pStyle w:val="Compact"/>
              <w:jc w:val="center"/>
            </w:pPr>
            <w:r>
              <w:drawing>
                <wp:inline>
                  <wp:extent cx="4620126" cy="3696101"/>
                  <wp:effectExtent b="0" l="0" r="0" t="0"/>
                  <wp:docPr descr="" title="" id="155" name="Picture"/>
                  <a:graphic>
                    <a:graphicData uri="http://schemas.openxmlformats.org/drawingml/2006/picture">
                      <pic:pic>
                        <pic:nvPicPr>
                          <pic:cNvPr descr="CIE_files/figure-docx/fig-spock_sel-1.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SPock model.</w:t>
            </w:r>
          </w:p>
          <w:bookmarkEnd w:id="157"/>
        </w:tc>
      </w:tr>
    </w:tbl>
    <w:tbl>
      <w:tblPr>
        <w:tblStyle w:val="Table"/>
        <w:tblW w:type="pct" w:w="5000"/>
        <w:tblLayout w:type="fixed"/>
        <w:tblLook w:firstRow="0" w:lastRow="0" w:firstColumn="0" w:lastColumn="0" w:noHBand="0" w:noVBand="0" w:val="0000"/>
      </w:tblPr>
      <w:tblGrid>
        <w:gridCol w:w="7920"/>
      </w:tblGrid>
      <w:tr>
        <w:tc>
          <w:tcPr/>
          <w:bookmarkStart w:id="161" w:name="fig-spock_ts-1"/>
          <w:p>
            <w:pPr>
              <w:pStyle w:val="Compact"/>
              <w:jc w:val="center"/>
            </w:pPr>
            <w:r>
              <w:drawing>
                <wp:inline>
                  <wp:extent cx="5334000" cy="2667000"/>
                  <wp:effectExtent b="0" l="0" r="0" t="0"/>
                  <wp:docPr descr="" title="" id="159" name="Picture"/>
                  <a:graphic>
                    <a:graphicData uri="http://schemas.openxmlformats.org/drawingml/2006/picture">
                      <pic:pic>
                        <pic:nvPicPr>
                          <pic:cNvPr descr="CIE_files/figure-docx/fig-spock_ts-1.png" id="160" name="Picture"/>
                          <pic:cNvPicPr>
                            <a:picLocks noChangeArrowheads="1" noChangeAspect="1"/>
                          </pic:cNvPicPr>
                        </pic:nvPicPr>
                        <pic:blipFill>
                          <a:blip r:embed="rId15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2"/>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2.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bookmarkEnd w:id="166"/>
    <w:bookmarkEnd w:id="167"/>
    <w:bookmarkStart w:id="178"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w:t>
      </w:r>
      <w:r>
        <w:t xml:space="preserve">knots</w:t>
      </w:r>
      <w:r>
        <w:t xml:space="preserve">”</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1" w:name="fig-sdm_index"/>
          <w:p>
            <w:pPr>
              <w:pStyle w:val="Compact"/>
              <w:jc w:val="center"/>
            </w:pPr>
            <w:r>
              <w:drawing>
                <wp:inline>
                  <wp:extent cx="5334000" cy="3578794"/>
                  <wp:effectExtent b="0" l="0" r="0" t="0"/>
                  <wp:docPr descr="" title="" id="169" name="Picture"/>
                  <a:graphic>
                    <a:graphicData uri="http://schemas.openxmlformats.org/drawingml/2006/picture">
                      <pic:pic>
                        <pic:nvPicPr>
                          <pic:cNvPr descr="figs/Vast_index_updated.png" id="170" name="Picture"/>
                          <pic:cNvPicPr>
                            <a:picLocks noChangeArrowheads="1" noChangeAspect="1"/>
                          </pic:cNvPicPr>
                        </pic:nvPicPr>
                        <pic:blipFill>
                          <a:blip r:embed="rId16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revised sdmTMB model.</w:t>
            </w:r>
          </w:p>
          <w:bookmarkEnd w:id="171"/>
        </w:tc>
      </w:tr>
    </w:tbl>
    <w:bookmarkEnd w:id="172"/>
    <w:bookmarkStart w:id="17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w:t>
      </w:r>
      <w:r>
        <w:t xml:space="preserve">knots</w:t>
      </w:r>
      <w:r>
        <w:t xml:space="preserve">”</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34</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age"/>
          <w:p>
            <w:pPr>
              <w:pStyle w:val="Compact"/>
              <w:jc w:val="center"/>
            </w:pPr>
            <w:r>
              <w:drawing>
                <wp:inline>
                  <wp:extent cx="5334000" cy="4798793"/>
                  <wp:effectExtent b="0" l="0" r="0" t="0"/>
                  <wp:docPr descr="" title="" id="174" name="Picture"/>
                  <a:graphic>
                    <a:graphicData uri="http://schemas.openxmlformats.org/drawingml/2006/picture">
                      <pic:pic>
                        <pic:nvPicPr>
                          <pic:cNvPr descr="figs/VAST_Age_Compare.png" id="175" name="Picture"/>
                          <pic:cNvPicPr>
                            <a:picLocks noChangeArrowheads="1" noChangeAspect="1"/>
                          </pic:cNvPicPr>
                        </pic:nvPicPr>
                        <pic:blipFill>
                          <a:blip r:embed="rId17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76"/>
        </w:tc>
      </w:tr>
    </w:tbl>
    <w:bookmarkEnd w:id="177"/>
    <w:bookmarkEnd w:id="178"/>
    <w:bookmarkStart w:id="219" w:name="references"/>
    <w:p>
      <w:pPr>
        <w:pStyle w:val="Heading1"/>
      </w:pPr>
      <w:r>
        <w:t xml:space="preserve">References</w:t>
      </w:r>
    </w:p>
    <w:bookmarkStart w:id="218" w:name="refs"/>
    <w:bookmarkStart w:id="180"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79">
        <w:r>
          <w:rPr>
            <w:rStyle w:val="Hyperlink"/>
          </w:rPr>
          <w:t xml:space="preserve">https://doi.org/10.1016/j.fishres.2022.106303</w:t>
        </w:r>
      </w:hyperlink>
      <w:r>
        <w:t xml:space="preserve">.</w:t>
      </w:r>
    </w:p>
    <w:bookmarkEnd w:id="180"/>
    <w:bookmarkStart w:id="182"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1">
        <w:r>
          <w:rPr>
            <w:rStyle w:val="Hyperlink"/>
          </w:rPr>
          <w:t xml:space="preserve">https://doi.org/10.1101/2022.03.24.485545</w:t>
        </w:r>
      </w:hyperlink>
      <w:r>
        <w:t xml:space="preserve">.</w:t>
      </w:r>
    </w:p>
    <w:bookmarkEnd w:id="182"/>
    <w:bookmarkStart w:id="18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3"/>
    <w:bookmarkStart w:id="18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4">
        <w:r>
          <w:rPr>
            <w:rStyle w:val="Hyperlink"/>
          </w:rPr>
          <w:t xml:space="preserve">https://doi.org/10.1111/faf.12891</w:t>
        </w:r>
      </w:hyperlink>
      <w:r>
        <w:t xml:space="preserve">.</w:t>
      </w:r>
    </w:p>
    <w:bookmarkEnd w:id="185"/>
    <w:bookmarkStart w:id="18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86">
        <w:r>
          <w:rPr>
            <w:rStyle w:val="Hyperlink"/>
          </w:rPr>
          <w:t xml:space="preserve">https://doi.org/10.1080/10618600.1996.10474708</w:t>
        </w:r>
      </w:hyperlink>
      <w:r>
        <w:t xml:space="preserve">.</w:t>
      </w:r>
    </w:p>
    <w:bookmarkEnd w:id="187"/>
    <w:bookmarkStart w:id="18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88"/>
    <w:bookmarkStart w:id="19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89">
        <w:r>
          <w:rPr>
            <w:rStyle w:val="Hyperlink"/>
          </w:rPr>
          <w:t xml:space="preserve">http://florianhartig.github.io/DHARMa/</w:t>
        </w:r>
      </w:hyperlink>
      <w:r>
        <w:t xml:space="preserve">.</w:t>
      </w:r>
    </w:p>
    <w:bookmarkEnd w:id="190"/>
    <w:bookmarkStart w:id="19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1">
        <w:r>
          <w:rPr>
            <w:rStyle w:val="Hyperlink"/>
          </w:rPr>
          <w:t xml:space="preserve">https://doi.org/10.1139/cjfas-2018-0112</w:t>
        </w:r>
      </w:hyperlink>
      <w:r>
        <w:t xml:space="preserve">.</w:t>
      </w:r>
    </w:p>
    <w:bookmarkEnd w:id="192"/>
    <w:bookmarkStart w:id="19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3">
        <w:r>
          <w:rPr>
            <w:rStyle w:val="Hyperlink"/>
          </w:rPr>
          <w:t xml:space="preserve">https://www.npfmc.org/wp-content/PDFdocuments/SAFE/2024/EBSmultispp.pdf</w:t>
        </w:r>
      </w:hyperlink>
      <w:r>
        <w:t xml:space="preserve">.</w:t>
      </w:r>
    </w:p>
    <w:bookmarkEnd w:id="194"/>
    <w:bookmarkStart w:id="19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5">
        <w:r>
          <w:rPr>
            <w:rStyle w:val="Hyperlink"/>
          </w:rPr>
          <w:t xml:space="preserve">http://afsc-assessments.github.io/EBSpollock/</w:t>
        </w:r>
      </w:hyperlink>
      <w:r>
        <w:t xml:space="preserve">.</w:t>
      </w:r>
    </w:p>
    <w:bookmarkEnd w:id="196"/>
    <w:bookmarkStart w:id="19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197"/>
    <w:bookmarkStart w:id="19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198">
        <w:r>
          <w:rPr>
            <w:rStyle w:val="Hyperlink"/>
          </w:rPr>
          <w:t xml:space="preserve">https://doi.org/10.1016/j.fishres.2012.10.012</w:t>
        </w:r>
      </w:hyperlink>
      <w:r>
        <w:t xml:space="preserve">.</w:t>
      </w:r>
    </w:p>
    <w:bookmarkEnd w:id="199"/>
    <w:bookmarkStart w:id="20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0">
        <w:r>
          <w:rPr>
            <w:rStyle w:val="Hyperlink"/>
          </w:rPr>
          <w:t xml:space="preserve">https://doi.org/10.1016/j.fishres.2014.01.014</w:t>
        </w:r>
      </w:hyperlink>
      <w:r>
        <w:t xml:space="preserve">.</w:t>
      </w:r>
    </w:p>
    <w:bookmarkEnd w:id="201"/>
    <w:bookmarkStart w:id="20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2">
        <w:r>
          <w:rPr>
            <w:rStyle w:val="Hyperlink"/>
          </w:rPr>
          <w:t xml:space="preserve">https://doi.org/10.1093/icesjms/fsab078</w:t>
        </w:r>
      </w:hyperlink>
      <w:r>
        <w:t xml:space="preserve">.</w:t>
      </w:r>
    </w:p>
    <w:bookmarkEnd w:id="203"/>
    <w:bookmarkStart w:id="20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4">
        <w:r>
          <w:rPr>
            <w:rStyle w:val="Hyperlink"/>
          </w:rPr>
          <w:t xml:space="preserve">https://doi.org/10.1111/fog.12494</w:t>
        </w:r>
      </w:hyperlink>
      <w:r>
        <w:t xml:space="preserve">.</w:t>
      </w:r>
    </w:p>
    <w:bookmarkEnd w:id="205"/>
    <w:bookmarkStart w:id="20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06"/>
    <w:bookmarkStart w:id="20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07">
        <w:r>
          <w:rPr>
            <w:rStyle w:val="Hyperlink"/>
          </w:rPr>
          <w:t xml:space="preserve">https://doi.org/10.25923/1wwh-q418</w:t>
        </w:r>
      </w:hyperlink>
      <w:r>
        <w:t xml:space="preserve">.</w:t>
      </w:r>
    </w:p>
    <w:bookmarkEnd w:id="208"/>
    <w:bookmarkStart w:id="21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09">
        <w:r>
          <w:rPr>
            <w:rStyle w:val="Hyperlink"/>
          </w:rPr>
          <w:t xml:space="preserve">https://doi.org/10.1016/j.fishres.2021.105967</w:t>
        </w:r>
      </w:hyperlink>
      <w:r>
        <w:t xml:space="preserve">.</w:t>
      </w:r>
    </w:p>
    <w:bookmarkEnd w:id="210"/>
    <w:bookmarkStart w:id="21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1">
        <w:r>
          <w:rPr>
            <w:rStyle w:val="Hyperlink"/>
          </w:rPr>
          <w:t xml:space="preserve">https://doi.org/10.1139/cjfas-2017-0266</w:t>
        </w:r>
      </w:hyperlink>
      <w:r>
        <w:t xml:space="preserve">.</w:t>
      </w:r>
    </w:p>
    <w:bookmarkEnd w:id="212"/>
    <w:bookmarkStart w:id="21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3">
        <w:r>
          <w:rPr>
            <w:rStyle w:val="Hyperlink"/>
          </w:rPr>
          <w:t xml:space="preserve">https://doi.org/10.1002/lno.11238</w:t>
        </w:r>
      </w:hyperlink>
      <w:r>
        <w:t xml:space="preserve">.</w:t>
      </w:r>
    </w:p>
    <w:bookmarkEnd w:id="214"/>
    <w:bookmarkStart w:id="21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5"/>
    <w:bookmarkStart w:id="21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16">
        <w:r>
          <w:rPr>
            <w:rStyle w:val="Hyperlink"/>
          </w:rPr>
          <w:t xml:space="preserve">https://doi.org/10.1016/j.fishres.2015.11.016</w:t>
        </w:r>
      </w:hyperlink>
      <w:r>
        <w:t xml:space="preserve">.</w:t>
      </w:r>
    </w:p>
    <w:bookmarkEnd w:id="217"/>
    <w:bookmarkEnd w:id="218"/>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93" Target="media/rId93.png" /><Relationship Type="http://schemas.openxmlformats.org/officeDocument/2006/relationships/image" Id="rId105" Target="media/rId10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73" Target="media/rId173.png" /><Relationship Type="http://schemas.openxmlformats.org/officeDocument/2006/relationships/image" Id="rId168" Target="media/rId168.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18" Target="https://github.com/noaa-afsc/EBS_pollock/tree/main/runs/SAM/poll24" TargetMode="External" /><Relationship Type="http://schemas.openxmlformats.org/officeDocument/2006/relationships/hyperlink" Id="rId132"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5" Target="http://afsc-assessments.github.io/EBSpollock/" TargetMode="External" /><Relationship Type="http://schemas.openxmlformats.org/officeDocument/2006/relationships/hyperlink" Id="rId18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3" Target="https://doi.org/10.1002/lno.11238" TargetMode="External" /><Relationship Type="http://schemas.openxmlformats.org/officeDocument/2006/relationships/hyperlink" Id="rId198" Target="https://doi.org/10.1016/j.fishres.2012.10.012" TargetMode="External" /><Relationship Type="http://schemas.openxmlformats.org/officeDocument/2006/relationships/hyperlink" Id="rId200" Target="https://doi.org/10.1016/j.fishres.2014.01.014" TargetMode="External" /><Relationship Type="http://schemas.openxmlformats.org/officeDocument/2006/relationships/hyperlink" Id="rId216" Target="https://doi.org/10.1016/j.fishres.2015.11.016" TargetMode="External" /><Relationship Type="http://schemas.openxmlformats.org/officeDocument/2006/relationships/hyperlink" Id="rId209" Target="https://doi.org/10.1016/j.fishres.2021.105967" TargetMode="External" /><Relationship Type="http://schemas.openxmlformats.org/officeDocument/2006/relationships/hyperlink" Id="rId179" Target="https://doi.org/10.1016/j.fishres.2022.106303" TargetMode="External" /><Relationship Type="http://schemas.openxmlformats.org/officeDocument/2006/relationships/hyperlink" Id="rId186" Target="https://doi.org/10.1080/10618600.1996.10474708" TargetMode="External" /><Relationship Type="http://schemas.openxmlformats.org/officeDocument/2006/relationships/hyperlink" Id="rId202" Target="https://doi.org/10.1093/icesjms/fsab078" TargetMode="External" /><Relationship Type="http://schemas.openxmlformats.org/officeDocument/2006/relationships/hyperlink" Id="rId181" Target="https://doi.org/10.1101/2022.03.24.485545" TargetMode="External" /><Relationship Type="http://schemas.openxmlformats.org/officeDocument/2006/relationships/hyperlink" Id="rId184" Target="https://doi.org/10.1111/faf.12891" TargetMode="External" /><Relationship Type="http://schemas.openxmlformats.org/officeDocument/2006/relationships/hyperlink" Id="rId204" Target="https://doi.org/10.1111/fog.12494" TargetMode="External" /><Relationship Type="http://schemas.openxmlformats.org/officeDocument/2006/relationships/hyperlink" Id="rId211" Target="https://doi.org/10.1139/cjfas-2017-0266" TargetMode="External" /><Relationship Type="http://schemas.openxmlformats.org/officeDocument/2006/relationships/hyperlink" Id="rId191" Target="https://doi.org/10.1139/cjfas-2018-0112" TargetMode="External" /><Relationship Type="http://schemas.openxmlformats.org/officeDocument/2006/relationships/hyperlink" Id="rId207" Target="https://doi.org/10.25923/1wwh-q418" TargetMode="External" /><Relationship Type="http://schemas.openxmlformats.org/officeDocument/2006/relationships/hyperlink" Id="rId118" Target="https://github.com/noaa-afsc/EBS_pollock/tree/main/runs/SAM/poll24" TargetMode="External" /><Relationship Type="http://schemas.openxmlformats.org/officeDocument/2006/relationships/hyperlink" Id="rId132" Target="https://github.com/noaa-afsc/EBS_pollock/tree/main/runs/wham" TargetMode="External" /><Relationship Type="http://schemas.openxmlformats.org/officeDocument/2006/relationships/hyperlink" Id="rId19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2025-05-07T20:00:05Z</dcterms:created>
  <dcterms:modified xsi:type="dcterms:W3CDTF">2025-05-07T20:00:05Z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