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2.png" ContentType="image/png"/>
  <Override PartName="/word/media/rId146.png" ContentType="image/png"/>
  <Override PartName="/word/media/rId150.png" ContentType="image/png"/>
  <Override PartName="/word/media/rId134.png" ContentType="image/png"/>
  <Override PartName="/word/media/rId138.png" ContentType="image/png"/>
  <Override PartName="/word/media/rId119.png" ContentType="image/png"/>
  <Override PartName="/word/media/rId123.png" ContentType="image/png"/>
  <Override PartName="/word/media/rId127.png" ContentType="image/png"/>
  <Override PartName="/word/media/rId155.png" ContentType="image/png"/>
  <Override PartName="/word/media/rId159.png" ContentType="image/png"/>
  <Override PartName="/word/media/rId163.png" ContentType="image/png"/>
  <Override PartName="/word/media/rId97.png" ContentType="image/png"/>
  <Override PartName="/word/media/rId109.png" ContentType="image/png"/>
  <Override PartName="/word/media/rId113.png" ContentType="image/png"/>
  <Override PartName="/word/media/rId101.png" ContentType="image/png"/>
  <Override PartName="/word/media/rId105.png" ContentType="image/png"/>
  <Override PartName="/word/media/rId47.png" ContentType="image/png"/>
  <Override PartName="/word/media/rId170.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Sofia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leave-one-out-sensitivity-analysis"/>
    <w:p>
      <w:pPr>
        <w:pStyle w:val="Heading1"/>
      </w:pPr>
      <w:r>
        <w:t xml:space="preserve">Leave-one-out sensitivity analysis</w:t>
      </w:r>
    </w:p>
    <w:p>
      <w:pPr>
        <w:pStyle w:val="FirstParagraph"/>
      </w:pPr>
      <w:r>
        <w:t xml:space="preserve">Here we present model runs that downweight one source of age composition data at a time,</w:t>
      </w:r>
      <w:r>
        <w:t xml:space="preserve"> </w:t>
      </w:r>
      <w:r>
        <w:t xml:space="preserve">as well as a run that downweights all survey biomass indices.</w:t>
      </w:r>
      <w:r>
        <w:t xml:space="preserve"> </w:t>
      </w:r>
      <w:hyperlink w:anchor="tbl-loo_runs">
        <w:r>
          <w:rPr>
            <w:rStyle w:val="Hyperlink"/>
          </w:rPr>
          <w:t xml:space="preserve">Table 4</w:t>
        </w:r>
      </w:hyperlink>
      <w:r>
        <w:t xml:space="preserve"> </w:t>
      </w:r>
      <w:r>
        <w:t xml:space="preserve">shows the</w:t>
      </w:r>
      <w:r>
        <w:t xml:space="preserve"> </w:t>
      </w:r>
      <w:r>
        <w:t xml:space="preserve">combinations of data types included for this analysis.</w:t>
      </w:r>
    </w:p>
    <w:p>
      <w:pPr>
        <w:pStyle w:val="BodyText"/>
      </w:pPr>
      <w:r>
        <w:t xml:space="preserve">Results show that the model is sensitive to the inclusion of the … data (</w:t>
      </w:r>
      <w:hyperlink w:anchor="tbl-loo_fits">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when downweighting the BTS data, the model estimates of spawning biomass</w:t>
      </w:r>
      <w:r>
        <w:t xml:space="preserve"> </w:t>
      </w:r>
      <w:r>
        <w:t xml:space="preserve">changed in trends</w:t>
      </w:r>
      <w:r>
        <w:t xml:space="preserve"> </w:t>
      </w:r>
      <w:hyperlink w:anchor="fig-loo-ssb">
        <w:r>
          <w:rPr>
            <w:rStyle w:val="Hyperlink"/>
          </w:rPr>
          <w:t xml:space="preserve">Figure 12</w:t>
        </w:r>
      </w:hyperlink>
      <w:r>
        <w:t xml:space="preserve"> </w:t>
      </w:r>
      <w:r>
        <w:t xml:space="preserve">.</w:t>
      </w:r>
      <w:r>
        <w:t xml:space="preserve"> </w:t>
      </w:r>
      <w:r>
        <w:t xml:space="preserve">The model estimates of recruitment were less dramatic in appearance but was consistent</w:t>
      </w:r>
      <w:r>
        <w:t xml:space="preserve"> </w:t>
      </w:r>
      <w:r>
        <w:t xml:space="preserve">for the run where all of the bottom-trawl survey data were excluded</w:t>
      </w:r>
      <w:r>
        <w:t xml:space="preserve"> </w:t>
      </w:r>
      <w:hyperlink w:anchor="fig-loo-recruitment">
        <w:r>
          <w:rPr>
            <w:rStyle w:val="Hyperlink"/>
          </w:rPr>
          <w:t xml:space="preserve">Figure 13</w:t>
        </w:r>
      </w:hyperlink>
      <w:r>
        <w:t xml:space="preserve">.</w:t>
      </w:r>
      <w:r>
        <w:t xml:space="preserve"> </w:t>
      </w:r>
      <w:r>
        <w:t xml:space="preserve">The relative fits to the different indices by data component ommission show that</w:t>
      </w:r>
      <w:r>
        <w:t xml:space="preserve"> </w:t>
      </w:r>
      <w:r>
        <w:t xml:space="preserve">the model is relatively insensitive to data being excluded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 consistency can also be noted</w:t>
      </w:r>
      <w:r>
        <w:t xml:space="preserve"> </w:t>
      </w:r>
      <w:r>
        <w:t xml:space="preserve">in the goodness-of-fit measures in</w:t>
      </w:r>
      <w:r>
        <w:t xml:space="preserve"> </w:t>
      </w:r>
      <w:hyperlink w:anchor="tbl-loo_fits">
        <w:r>
          <w:rPr>
            <w:rStyle w:val="Hyperlink"/>
          </w:rPr>
          <w:t xml:space="preserve">Table 5</w:t>
        </w:r>
      </w:hyperlink>
      <w:r>
        <w:t xml:space="preserve">. The table shows the goodness-of-fit</w:t>
      </w:r>
      <w:r>
        <w:t xml:space="preserve"> </w:t>
      </w:r>
      <w:r>
        <w:t xml:space="preserve">in different ways to the components that are dropped successively.</w:t>
      </w:r>
    </w:p>
    <w:p>
      <w:pPr>
        <w:pStyle w:val="BodyText"/>
      </w:pPr>
      <w:r>
        <w:t xml:space="preserve">In conclusion, the data sources suggest a good level of consistency driving the trends–that is</w:t>
      </w:r>
      <w:r>
        <w:t xml:space="preserve"> </w:t>
      </w:r>
      <w:r>
        <w:t xml:space="preserve">there appears to be relatively low levels of conflict. This is likely due to the</w:t>
      </w:r>
      <w:r>
        <w:t xml:space="preserve"> </w:t>
      </w:r>
      <w:r>
        <w:t xml:space="preserve">constant natural mortality-at-age and highly precise fishery catch-at-age. That is,</w:t>
      </w:r>
      <w:r>
        <w:t xml:space="preserve"> </w:t>
      </w:r>
      <w:r>
        <w:t xml:space="preserve">the traditional</w:t>
      </w:r>
      <w:r>
        <w:t xml:space="preserve"> </w:t>
      </w:r>
      <w:r>
        <w:t xml:space="preserve">“VPA”</w:t>
      </w:r>
      <w:r>
        <w:t xml:space="preserve"> </w:t>
      </w:r>
      <w:r>
        <w:t xml:space="preserve">approach of back-calculating the abundance based on the numbers caught</w:t>
      </w:r>
      <w:r>
        <w:t xml:space="preserve"> </w:t>
      </w:r>
      <w:r>
        <w:t xml:space="preserve">result in a relatively consistent estimate of the population size. The importance of the survey data can be seen in</w:t>
      </w:r>
      <w:r>
        <w:t xml:space="preserve"> </w:t>
      </w:r>
      <w:r>
        <w:t xml:space="preserve">some of the reference calculations where the uncertainty increases</w:t>
      </w:r>
      <w:r>
        <w:t xml:space="preserve"> </w:t>
      </w:r>
      <w:r>
        <w:t xml:space="preserve">dramatically and the stock-status perception is quite differen</w:t>
      </w:r>
      <w:r>
        <w:t xml:space="preserve"> </w:t>
      </w:r>
      <w:hyperlink w:anchor="tbl-loo_ref">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717.520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484.630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661.740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674.170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484.630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682.320</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68" w:name="alternative-assessment-software"/>
    <w:p>
      <w:pPr>
        <w:pStyle w:val="Heading1"/>
      </w:pPr>
      <w:r>
        <w:t xml:space="preserve">Alternative assessment software</w:t>
      </w:r>
    </w:p>
    <w:bookmarkStart w:id="117"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r>
        <w:t xml:space="preserve"> </w:t>
      </w:r>
      <w:hyperlink w:anchor="fig-ss3">
        <w:r>
          <w:rPr>
            <w:rStyle w:val="Hyperlink"/>
          </w:rPr>
          <w:t xml:space="preserve">Figure 17</w:t>
        </w:r>
      </w:hyperlink>
      <w:r>
        <w:t xml:space="preserve"> </w:t>
      </w:r>
      <w:r>
        <w:t xml:space="preserve">shows the model results comparing the last year’s model some</w:t>
      </w:r>
      <w:r>
        <w:t xml:space="preserve"> </w:t>
      </w:r>
      <w:r>
        <w:rPr>
          <w:b/>
          <w:bCs/>
        </w:rPr>
        <w:t xml:space="preserve">?@fig-synts</w:t>
      </w:r>
      <w:r>
        <w:t xml:space="preserve"> </w:t>
      </w:r>
      <w:r>
        <w:t xml:space="preserve">shows the model results comparing the last year’s model some alternative model</w:t>
      </w:r>
      <w:r>
        <w:t xml:space="preserve"> </w:t>
      </w:r>
      <w:r>
        <w:t xml:space="preserve">platforms. In</w:t>
      </w:r>
      <w:r>
        <w:t xml:space="preserve"> </w:t>
      </w:r>
      <w:r>
        <w:rPr>
          <w:b/>
          <w:bCs/>
        </w:rPr>
        <w:t xml:space="preserve">?@fig-synts</w:t>
      </w:r>
      <w:r>
        <w:t xml:space="preserve">, comparing the SS3 output with three different configurations on</w:t>
      </w:r>
      <w:r>
        <w:t xml:space="preserve"> </w:t>
      </w:r>
      <w:r>
        <w:t xml:space="preserve">selectivity constraint shows similarities in the time series. Comparing the SS3 output</w:t>
      </w:r>
      <w:r>
        <w:t xml:space="preserve"> </w:t>
      </w:r>
      <w:r>
        <w:t xml:space="preserve">with last year’s reference model shows that xxx</w:t>
      </w:r>
      <w:r>
        <w:t xml:space="preserve"> </w:t>
      </w:r>
      <w:r>
        <w:rPr>
          <w:b/>
          <w:bCs/>
        </w:rPr>
        <w:t xml:space="preserve">?@fig-ss3tsref</w:t>
      </w:r>
      <w:r>
        <w:t xml:space="preserve">.</w:t>
      </w:r>
    </w:p>
    <w:tbl>
      <w:tblPr>
        <w:tblStyle w:val="Table"/>
        <w:tblW w:type="pct" w:w="5000"/>
        <w:tblLayout w:type="fixed"/>
        <w:tblLook w:firstRow="0" w:lastRow="0" w:firstColumn="0" w:lastColumn="0" w:noHBand="0" w:noVBand="0" w:val="0000"/>
      </w:tblPr>
      <w:tblGrid>
        <w:gridCol w:w="7920"/>
      </w:tblGrid>
      <w:tr>
        <w:tc>
          <w:tcPr/>
          <w:bookmarkStart w:id="100" w:name="fig-ss3"/>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ss3-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Model results comparing three different SS3 model configurations. The models are the base model (Base), the constrained model (Constrained), and the flexible model (Flexible).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4" w:name="fig-synts-1"/>
          <w:p>
            <w:pPr>
              <w:pStyle w:val="Compact"/>
              <w:jc w:val="center"/>
            </w:pPr>
            <w:r>
              <w:drawing>
                <wp:inline>
                  <wp:extent cx="5334000" cy="4267200"/>
                  <wp:effectExtent b="0" l="0" r="0" t="0"/>
                  <wp:docPr descr="" title="" id="102" name="Picture"/>
                  <a:graphic>
                    <a:graphicData uri="http://schemas.openxmlformats.org/drawingml/2006/picture">
                      <pic:pic>
                        <pic:nvPicPr>
                          <pic:cNvPr descr="CIE_files/figure-docx/fig-synts-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Model results comparing three different SS3 model configurations. The models are the base model (Base), the constrained model (Constrained), and the flexible model (Flexible).</w:t>
            </w:r>
          </w:p>
          <w:bookmarkEnd w:id="104"/>
        </w:tc>
      </w:tr>
    </w:tbl>
    <w:tbl>
      <w:tblPr>
        <w:tblStyle w:val="Table"/>
        <w:tblW w:type="pct" w:w="5000"/>
        <w:tblLayout w:type="fixed"/>
        <w:tblLook w:firstRow="0" w:lastRow="0" w:firstColumn="0" w:lastColumn="0" w:noHBand="0" w:noVBand="0" w:val="0000"/>
      </w:tblPr>
      <w:tblGrid>
        <w:gridCol w:w="7920"/>
      </w:tblGrid>
      <w:tr>
        <w:tc>
          <w:tcPr/>
          <w:bookmarkStart w:id="108" w:name="fig-synts-2"/>
          <w:p>
            <w:pPr>
              <w:pStyle w:val="Compact"/>
              <w:jc w:val="center"/>
            </w:pPr>
            <w:r>
              <w:drawing>
                <wp:inline>
                  <wp:extent cx="5334000" cy="4267200"/>
                  <wp:effectExtent b="0" l="0" r="0" t="0"/>
                  <wp:docPr descr="" title="" id="106" name="Picture"/>
                  <a:graphic>
                    <a:graphicData uri="http://schemas.openxmlformats.org/drawingml/2006/picture">
                      <pic:pic>
                        <pic:nvPicPr>
                          <pic:cNvPr descr="CIE_files/figure-docx/fig-synts-2.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Model results comparing three different SS3 model configurations. The models are the base model (Base), the constrained model (Constrained), and the flexible model (Flexible).</w:t>
            </w:r>
          </w:p>
          <w:bookmarkEnd w:id="108"/>
        </w:tc>
      </w:tr>
    </w:tbl>
    <w:tbl>
      <w:tblPr>
        <w:tblStyle w:val="Table"/>
        <w:tblW w:type="pct" w:w="5000"/>
        <w:tblLayout w:type="fixed"/>
        <w:tblLook w:firstRow="0" w:lastRow="0" w:firstColumn="0" w:lastColumn="0" w:noHBand="0" w:noVBand="0" w:val="0000"/>
      </w:tblPr>
      <w:tblGrid>
        <w:gridCol w:w="7920"/>
      </w:tblGrid>
      <w:tr>
        <w:tc>
          <w:tcPr/>
          <w:bookmarkStart w:id="112" w:name="fig-ss3tsref-1"/>
          <w:p>
            <w:pPr>
              <w:pStyle w:val="Compact"/>
              <w:jc w:val="center"/>
            </w:pPr>
            <w:r>
              <w:drawing>
                <wp:inline>
                  <wp:extent cx="5334000" cy="4267200"/>
                  <wp:effectExtent b="0" l="0" r="0" t="0"/>
                  <wp:docPr descr="" title="" id="110" name="Picture"/>
                  <a:graphic>
                    <a:graphicData uri="http://schemas.openxmlformats.org/drawingml/2006/picture">
                      <pic:pic>
                        <pic:nvPicPr>
                          <pic:cNvPr descr="CIE_files/figure-docx/fig-ss3tsref-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three different SS3 model configurations. The models are the base model (Base), the constrained model (Constrained), and the flexible model (Flexible).</w:t>
            </w:r>
          </w:p>
          <w:bookmarkEnd w:id="112"/>
        </w:tc>
      </w:tr>
    </w:tbl>
    <w:tbl>
      <w:tblPr>
        <w:tblStyle w:val="Table"/>
        <w:tblW w:type="pct" w:w="5000"/>
        <w:tblLayout w:type="fixed"/>
        <w:tblLook w:firstRow="0" w:lastRow="0" w:firstColumn="0" w:lastColumn="0" w:noHBand="0" w:noVBand="0" w:val="0000"/>
      </w:tblPr>
      <w:tblGrid>
        <w:gridCol w:w="7920"/>
      </w:tblGrid>
      <w:tr>
        <w:tc>
          <w:tcPr/>
          <w:bookmarkStart w:id="116" w:name="fig-ss3tsref-2"/>
          <w:p>
            <w:pPr>
              <w:pStyle w:val="Compact"/>
              <w:jc w:val="center"/>
            </w:pPr>
            <w:r>
              <w:drawing>
                <wp:inline>
                  <wp:extent cx="5334000" cy="4267200"/>
                  <wp:effectExtent b="0" l="0" r="0" t="0"/>
                  <wp:docPr descr="" title="" id="114" name="Picture"/>
                  <a:graphic>
                    <a:graphicData uri="http://schemas.openxmlformats.org/drawingml/2006/picture">
                      <pic:pic>
                        <pic:nvPicPr>
                          <pic:cNvPr descr="CIE_files/figure-docx/fig-ss3tsref-2.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three different SS3 model configurations. The models are the base model (Base), the constrained model (Constrained), and the flexible model (Flexible).</w:t>
            </w:r>
          </w:p>
          <w:bookmarkEnd w:id="116"/>
        </w:tc>
      </w:tr>
    </w:tbl>
    <w:bookmarkEnd w:id="117"/>
    <w:bookmarkStart w:id="131"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18">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22</w:t>
        </w:r>
      </w:hyperlink>
      <w:r>
        <w:t xml:space="preserve">). The spawning</w:t>
      </w:r>
      <w:r>
        <w:t xml:space="preserve"> </w:t>
      </w:r>
      <w:r>
        <w:t xml:space="preserve">biomass trend largely overlaps in the uncertainty</w:t>
      </w:r>
      <w:r>
        <w:t xml:space="preserve"> </w:t>
      </w:r>
      <w:r>
        <w:rPr>
          <w:b/>
          <w:bCs/>
        </w:rPr>
        <w:t xml:space="preserve">?@fig-sam_ts</w:t>
      </w:r>
      <w:r>
        <w:t xml:space="preserve">.</w:t>
      </w:r>
    </w:p>
    <w:tbl>
      <w:tblPr>
        <w:tblStyle w:val="Table"/>
        <w:tblW w:type="pct" w:w="5000"/>
        <w:tblLayout w:type="fixed"/>
        <w:tblLook w:firstRow="0" w:lastRow="0" w:firstColumn="0" w:lastColumn="0" w:noHBand="0" w:noVBand="0" w:val="0000"/>
      </w:tblPr>
      <w:tblGrid>
        <w:gridCol w:w="7920"/>
      </w:tblGrid>
      <w:tr>
        <w:tc>
          <w:tcPr/>
          <w:bookmarkStart w:id="122" w:name="fig-sam"/>
          <w:p>
            <w:pPr>
              <w:pStyle w:val="Compact"/>
              <w:jc w:val="center"/>
            </w:pPr>
            <w:r>
              <w:drawing>
                <wp:inline>
                  <wp:extent cx="5334000" cy="4267200"/>
                  <wp:effectExtent b="0" l="0" r="0" t="0"/>
                  <wp:docPr descr="" title="" id="120" name="Picture"/>
                  <a:graphic>
                    <a:graphicData uri="http://schemas.openxmlformats.org/drawingml/2006/picture">
                      <pic:pic>
                        <pic:nvPicPr>
                          <pic:cNvPr descr="CIE_files/figure-docx/fig-sam-1.png" id="121" name="Picture"/>
                          <pic:cNvPicPr>
                            <a:picLocks noChangeArrowheads="1" noChangeAspect="1"/>
                          </pic:cNvPicPr>
                        </pic:nvPicPr>
                        <pic:blipFill>
                          <a:blip r:embed="rId1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last year’s model with the SAM model.</w:t>
            </w:r>
          </w:p>
          <w:bookmarkEnd w:id="122"/>
        </w:tc>
      </w:tr>
    </w:tbl>
    <w:tbl>
      <w:tblPr>
        <w:tblStyle w:val="Table"/>
        <w:tblW w:type="pct" w:w="5000"/>
        <w:tblLayout w:type="fixed"/>
        <w:tblLook w:firstRow="0" w:lastRow="0" w:firstColumn="0" w:lastColumn="0" w:noHBand="0" w:noVBand="0" w:val="0000"/>
      </w:tblPr>
      <w:tblGrid>
        <w:gridCol w:w="7920"/>
      </w:tblGrid>
      <w:tr>
        <w:tc>
          <w:tcPr/>
          <w:bookmarkStart w:id="126" w:name="fig-sam_ts-1"/>
          <w:p>
            <w:pPr>
              <w:pStyle w:val="Compact"/>
              <w:jc w:val="center"/>
            </w:pPr>
            <w:r>
              <w:drawing>
                <wp:inline>
                  <wp:extent cx="5334000" cy="4267200"/>
                  <wp:effectExtent b="0" l="0" r="0" t="0"/>
                  <wp:docPr descr="" title="" id="124" name="Picture"/>
                  <a:graphic>
                    <a:graphicData uri="http://schemas.openxmlformats.org/drawingml/2006/picture">
                      <pic:pic>
                        <pic:nvPicPr>
                          <pic:cNvPr descr="CIE_files/figure-docx/fig-sam_ts-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last year’s model with the SAM model for spawning biomass (top) and recruitment at age 1 (bottom).</w:t>
            </w:r>
          </w:p>
          <w:bookmarkEnd w:id="126"/>
        </w:tc>
      </w:tr>
    </w:tbl>
    <w:tbl>
      <w:tblPr>
        <w:tblStyle w:val="Table"/>
        <w:tblW w:type="pct" w:w="5000"/>
        <w:tblLayout w:type="fixed"/>
        <w:tblLook w:firstRow="0" w:lastRow="0" w:firstColumn="0" w:lastColumn="0" w:noHBand="0" w:noVBand="0" w:val="0000"/>
      </w:tblPr>
      <w:tblGrid>
        <w:gridCol w:w="7920"/>
      </w:tblGrid>
      <w:tr>
        <w:tc>
          <w:tcPr/>
          <w:bookmarkStart w:id="130" w:name="fig-sam_ts-2"/>
          <w:p>
            <w:pPr>
              <w:pStyle w:val="Compact"/>
              <w:jc w:val="center"/>
            </w:pPr>
            <w:r>
              <w:drawing>
                <wp:inline>
                  <wp:extent cx="5334000" cy="4267200"/>
                  <wp:effectExtent b="0" l="0" r="0" t="0"/>
                  <wp:docPr descr="" title="" id="128" name="Picture"/>
                  <a:graphic>
                    <a:graphicData uri="http://schemas.openxmlformats.org/drawingml/2006/picture">
                      <pic:pic>
                        <pic:nvPicPr>
                          <pic:cNvPr descr="CIE_files/figure-docx/fig-sam_ts-2.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last year’s model with the SAM model for spawning biomass (top) and recruitment at age 1 (bottom).</w:t>
            </w:r>
          </w:p>
          <w:bookmarkEnd w:id="130"/>
        </w:tc>
      </w:tr>
    </w:tbl>
    <w:bookmarkEnd w:id="131"/>
    <w:bookmarkStart w:id="132" w:name="wham"/>
    <w:p>
      <w:pPr>
        <w:pStyle w:val="Heading2"/>
      </w:pPr>
      <w:r>
        <w:t xml:space="preserve">WHAM</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w:t>
      </w:r>
    </w:p>
    <w:bookmarkEnd w:id="132"/>
    <w:bookmarkStart w:id="133" w:name="rtmb-model"/>
    <w:p>
      <w:pPr>
        <w:pStyle w:val="Heading2"/>
      </w:pPr>
      <w:r>
        <w:t xml:space="preserve">RTMB model</w:t>
      </w:r>
    </w:p>
    <w:p>
      <w:pPr>
        <w:pStyle w:val="FirstParagraph"/>
      </w:pPr>
      <w:r>
        <w:t xml:space="preserve">Work at AFSC has developed a general model which has flexibility to specify regions and a</w:t>
      </w:r>
      <w:r>
        <w:t xml:space="preserve"> </w:t>
      </w:r>
      <w:r>
        <w:t xml:space="preserve">variety of options including random effects. While this model is not yet fully developed,</w:t>
      </w:r>
      <w:r>
        <w:t xml:space="preserve"> </w:t>
      </w:r>
      <w:r>
        <w:t xml:space="preserve">we present preliminary results here. The model is written in TMB and is similar to the</w:t>
      </w:r>
      <w:r>
        <w:t xml:space="preserve"> </w:t>
      </w:r>
      <w:r>
        <w:t xml:space="preserve">WHAM model. We pursue this model to explore the potential for a more flexible model that</w:t>
      </w:r>
      <w:r>
        <w:t xml:space="preserve"> </w:t>
      </w:r>
      <w:r>
        <w:t xml:space="preserve">can be used for more explicit considerations of stocks linked to different regions (e.g.,</w:t>
      </w:r>
      <w:r>
        <w:t xml:space="preserve"> </w:t>
      </w:r>
      <w:r>
        <w:t xml:space="preserve">the US and Russian portions of the EBS). Also, this model to add sex-specificity and</w:t>
      </w:r>
      <w:r>
        <w:t xml:space="preserve"> </w:t>
      </w:r>
      <w:r>
        <w:t xml:space="preserve">random effects (</w:t>
      </w:r>
      <w:r>
        <w:t xml:space="preserve">M. L. H. Cheng et al. (2025)</w:t>
      </w:r>
      <w:r>
        <w:t xml:space="preserve">).</w:t>
      </w:r>
    </w:p>
    <w:bookmarkEnd w:id="133"/>
    <w:bookmarkStart w:id="154" w:name="ceattle-model"/>
    <w:p>
      <w:pPr>
        <w:pStyle w:val="Heading2"/>
      </w:pPr>
      <w:r>
        <w:t xml:space="preserve">CEATTLE model</w:t>
      </w:r>
    </w:p>
    <w:p>
      <w:pPr>
        <w:pStyle w:val="FirstParagraph"/>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w:t>
      </w:r>
    </w:p>
    <w:tbl>
      <w:tblPr>
        <w:tblStyle w:val="Table"/>
        <w:tblW w:type="pct" w:w="5000"/>
        <w:tblLayout w:type="fixed"/>
        <w:tblLook w:firstRow="0" w:lastRow="0" w:firstColumn="0" w:lastColumn="0" w:noHBand="0" w:noVBand="0" w:val="0000"/>
      </w:tblPr>
      <w:tblGrid>
        <w:gridCol w:w="7920"/>
      </w:tblGrid>
      <w:tr>
        <w:tc>
          <w:tcPr/>
          <w:bookmarkStart w:id="137" w:name="fig-rceattle"/>
          <w:p>
            <w:pPr>
              <w:pStyle w:val="Compact"/>
              <w:jc w:val="center"/>
            </w:pPr>
            <w:r>
              <w:drawing>
                <wp:inline>
                  <wp:extent cx="5334000" cy="4267200"/>
                  <wp:effectExtent b="0" l="0" r="0" t="0"/>
                  <wp:docPr descr="" title="" id="135" name="Picture"/>
                  <a:graphic>
                    <a:graphicData uri="http://schemas.openxmlformats.org/drawingml/2006/picture">
                      <pic:pic>
                        <pic:nvPicPr>
                          <pic:cNvPr descr="CIE_files/figure-docx/fig-rceattle-1.png" id="136" name="Picture"/>
                          <pic:cNvPicPr>
                            <a:picLocks noChangeArrowheads="1" noChangeAspect="1"/>
                          </pic:cNvPicPr>
                        </pic:nvPicPr>
                        <pic:blipFill>
                          <a:blip r:embed="rId13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last year’s model with the Rceattle model.</w:t>
            </w:r>
          </w:p>
          <w:bookmarkEnd w:id="137"/>
        </w:tc>
      </w:tr>
    </w:tbl>
    <w:tbl>
      <w:tblPr>
        <w:tblStyle w:val="Table"/>
        <w:tblW w:type="pct" w:w="5000"/>
        <w:tblLayout w:type="fixed"/>
        <w:tblLook w:firstRow="0" w:lastRow="0" w:firstColumn="0" w:lastColumn="0" w:noHBand="0" w:noVBand="0" w:val="0000"/>
      </w:tblPr>
      <w:tblGrid>
        <w:gridCol w:w="7920"/>
      </w:tblGrid>
      <w:tr>
        <w:tc>
          <w:tcPr/>
          <w:bookmarkStart w:id="141" w:name="fig-rceattle_ts"/>
          <w:p>
            <w:pPr>
              <w:pStyle w:val="Compact"/>
              <w:jc w:val="center"/>
            </w:pPr>
            <w:r>
              <w:drawing>
                <wp:inline>
                  <wp:extent cx="5334000" cy="4267200"/>
                  <wp:effectExtent b="0" l="0" r="0" t="0"/>
                  <wp:docPr descr="" title="" id="139" name="Picture"/>
                  <a:graphic>
                    <a:graphicData uri="http://schemas.openxmlformats.org/drawingml/2006/picture">
                      <pic:pic>
                        <pic:nvPicPr>
                          <pic:cNvPr descr="CIE_files/figure-docx/fig-rceattle_ts-1.png" id="140" name="Picture"/>
                          <pic:cNvPicPr>
                            <a:picLocks noChangeArrowheads="1" noChangeAspect="1"/>
                          </pic:cNvPicPr>
                        </pic:nvPicPr>
                        <pic:blipFill>
                          <a:blip r:embed="rId13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Rceattle model.</w:t>
            </w:r>
          </w:p>
          <w:bookmarkEnd w:id="141"/>
        </w:tc>
      </w:tr>
    </w:tbl>
    <w:tbl>
      <w:tblPr>
        <w:tblStyle w:val="Table"/>
        <w:tblW w:type="pct" w:w="5000"/>
        <w:tblLayout w:type="fixed"/>
        <w:tblLook w:firstRow="0" w:lastRow="0" w:firstColumn="0" w:lastColumn="0" w:noHBand="0" w:noVBand="0" w:val="0000"/>
      </w:tblPr>
      <w:tblGrid>
        <w:gridCol w:w="7920"/>
      </w:tblGrid>
      <w:tr>
        <w:tc>
          <w:tcPr/>
          <w:bookmarkStart w:id="145" w:name="fig-all"/>
          <w:p>
            <w:pPr>
              <w:pStyle w:val="Compact"/>
              <w:jc w:val="center"/>
            </w:pPr>
            <w:r>
              <w:drawing>
                <wp:inline>
                  <wp:extent cx="5334000" cy="4267200"/>
                  <wp:effectExtent b="0" l="0" r="0" t="0"/>
                  <wp:docPr descr="" title="" id="143" name="Picture"/>
                  <a:graphic>
                    <a:graphicData uri="http://schemas.openxmlformats.org/drawingml/2006/picture">
                      <pic:pic>
                        <pic:nvPicPr>
                          <pic:cNvPr descr="CIE_files/figure-docx/fig-all-1.png" id="144" name="Picture"/>
                          <pic:cNvPicPr>
                            <a:picLocks noChangeArrowheads="1" noChangeAspect="1"/>
                          </pic:cNvPicPr>
                        </pic:nvPicPr>
                        <pic:blipFill>
                          <a:blip r:embed="rId14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Rceattle model.</w:t>
            </w:r>
          </w:p>
          <w:bookmarkEnd w:id="145"/>
        </w:tc>
      </w:tr>
    </w:tbl>
    <w:tbl>
      <w:tblPr>
        <w:tblStyle w:val="Table"/>
        <w:tblW w:type="pct" w:w="5000"/>
        <w:tblLayout w:type="fixed"/>
        <w:tblLook w:firstRow="0" w:lastRow="0" w:firstColumn="0" w:lastColumn="0" w:noHBand="0" w:noVBand="0" w:val="0000"/>
      </w:tblPr>
      <w:tblGrid>
        <w:gridCol w:w="7920"/>
      </w:tblGrid>
      <w:tr>
        <w:tc>
          <w:tcPr/>
          <w:bookmarkStart w:id="149" w:name="fig-all_ts-1"/>
          <w:p>
            <w:pPr>
              <w:pStyle w:val="Compact"/>
              <w:jc w:val="center"/>
            </w:pPr>
            <w:r>
              <w:drawing>
                <wp:inline>
                  <wp:extent cx="5334000" cy="4267200"/>
                  <wp:effectExtent b="0" l="0" r="0" t="0"/>
                  <wp:docPr descr="" title="" id="147" name="Picture"/>
                  <a:graphic>
                    <a:graphicData uri="http://schemas.openxmlformats.org/drawingml/2006/picture">
                      <pic:pic>
                        <pic:nvPicPr>
                          <pic:cNvPr descr="CIE_files/figure-docx/fig-all_ts-1.png" id="148" name="Picture"/>
                          <pic:cNvPicPr>
                            <a:picLocks noChangeArrowheads="1" noChangeAspect="1"/>
                          </pic:cNvPicPr>
                        </pic:nvPicPr>
                        <pic:blipFill>
                          <a:blip r:embed="rId14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Rceattle model.</w:t>
            </w:r>
          </w:p>
          <w:bookmarkEnd w:id="149"/>
        </w:tc>
      </w:tr>
    </w:tbl>
    <w:tbl>
      <w:tblPr>
        <w:tblStyle w:val="Table"/>
        <w:tblW w:type="pct" w:w="5000"/>
        <w:tblLayout w:type="fixed"/>
        <w:tblLook w:firstRow="0" w:lastRow="0" w:firstColumn="0" w:lastColumn="0" w:noHBand="0" w:noVBand="0" w:val="0000"/>
      </w:tblPr>
      <w:tblGrid>
        <w:gridCol w:w="7920"/>
      </w:tblGrid>
      <w:tr>
        <w:tc>
          <w:tcPr/>
          <w:bookmarkStart w:id="153" w:name="fig-all_ts-2"/>
          <w:p>
            <w:pPr>
              <w:pStyle w:val="Compact"/>
              <w:jc w:val="center"/>
            </w:pPr>
            <w:r>
              <w:drawing>
                <wp:inline>
                  <wp:extent cx="5334000" cy="4267200"/>
                  <wp:effectExtent b="0" l="0" r="0" t="0"/>
                  <wp:docPr descr="" title="" id="151" name="Picture"/>
                  <a:graphic>
                    <a:graphicData uri="http://schemas.openxmlformats.org/drawingml/2006/picture">
                      <pic:pic>
                        <pic:nvPicPr>
                          <pic:cNvPr descr="CIE_files/figure-docx/fig-all_ts-2.png" id="152" name="Picture"/>
                          <pic:cNvPicPr>
                            <a:picLocks noChangeArrowheads="1" noChangeAspect="1"/>
                          </pic:cNvPicPr>
                        </pic:nvPicPr>
                        <pic:blipFill>
                          <a:blip r:embed="rId15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3"/>
        </w:tc>
      </w:tr>
    </w:tbl>
    <w:bookmarkEnd w:id="154"/>
    <w:bookmarkStart w:id="167"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w:t>
      </w:r>
      <w:r>
        <w:t xml:space="preserve"> </w:t>
      </w:r>
      <w:hyperlink w:anchor="fig-spock_sel">
        <w:r>
          <w:rPr>
            <w:rStyle w:val="Hyperlink"/>
          </w:rPr>
          <w:t xml:space="preserve">Figure 30</w:t>
        </w:r>
      </w:hyperlink>
      <w:r>
        <w:t xml:space="preserve"> </w:t>
      </w:r>
      <w:r>
        <w:t xml:space="preserve">shows the model</w:t>
      </w:r>
      <w:r>
        <w:t xml:space="preserve"> </w:t>
      </w:r>
      <w:r>
        <w:t xml:space="preserve">results comparing time-varying selectivity whereas</w:t>
      </w:r>
      <w:r>
        <w:t xml:space="preserve"> </w:t>
      </w:r>
      <w:r>
        <w:rPr>
          <w:b/>
          <w:bCs/>
        </w:rPr>
        <w:t xml:space="preserve">?@fig-spock_ts</w:t>
      </w:r>
      <w:r>
        <w:t xml:space="preserve"> </w:t>
      </w:r>
      <w:r>
        <w:t xml:space="preserve">shows the model results</w:t>
      </w:r>
      <w:r>
        <w:t xml:space="preserve"> </w:t>
      </w:r>
      <w:r>
        <w:t xml:space="preserve">time series. The difference in the age-1 recruits is likely due to the fact that the</w:t>
      </w:r>
      <w:r>
        <w:t xml:space="preserve"> </w:t>
      </w:r>
      <w:r>
        <w:t xml:space="preserve">spatial model currently has constant M-at-age compared to the base model.</w:t>
      </w:r>
    </w:p>
    <w:tbl>
      <w:tblPr>
        <w:tblStyle w:val="Table"/>
        <w:tblW w:type="pct" w:w="5000"/>
        <w:tblLayout w:type="fixed"/>
        <w:tblLook w:firstRow="0" w:lastRow="0" w:firstColumn="0" w:lastColumn="0" w:noHBand="0" w:noVBand="0" w:val="0000"/>
      </w:tblPr>
      <w:tblGrid>
        <w:gridCol w:w="7920"/>
      </w:tblGrid>
      <w:tr>
        <w:tc>
          <w:tcPr/>
          <w:bookmarkStart w:id="158" w:name="fig-spock_sel"/>
          <w:p>
            <w:pPr>
              <w:pStyle w:val="Compact"/>
              <w:jc w:val="center"/>
            </w:pPr>
            <w:r>
              <w:drawing>
                <wp:inline>
                  <wp:extent cx="5334000" cy="4267200"/>
                  <wp:effectExtent b="0" l="0" r="0" t="0"/>
                  <wp:docPr descr="" title="" id="156" name="Picture"/>
                  <a:graphic>
                    <a:graphicData uri="http://schemas.openxmlformats.org/drawingml/2006/picture">
                      <pic:pic>
                        <pic:nvPicPr>
                          <pic:cNvPr descr="CIE_files/figure-docx/fig-spock_sel-1.png" id="157" name="Picture"/>
                          <pic:cNvPicPr>
                            <a:picLocks noChangeArrowheads="1" noChangeAspect="1"/>
                          </pic:cNvPicPr>
                        </pic:nvPicPr>
                        <pic:blipFill>
                          <a:blip r:embed="rId15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SPock model.</w:t>
            </w:r>
          </w:p>
          <w:bookmarkEnd w:id="158"/>
        </w:tc>
      </w:tr>
    </w:tbl>
    <w:tbl>
      <w:tblPr>
        <w:tblStyle w:val="Table"/>
        <w:tblW w:type="pct" w:w="5000"/>
        <w:tblLayout w:type="fixed"/>
        <w:tblLook w:firstRow="0" w:lastRow="0" w:firstColumn="0" w:lastColumn="0" w:noHBand="0" w:noVBand="0" w:val="0000"/>
      </w:tblPr>
      <w:tblGrid>
        <w:gridCol w:w="7920"/>
      </w:tblGrid>
      <w:tr>
        <w:tc>
          <w:tcPr/>
          <w:bookmarkStart w:id="162" w:name="fig-spock_ts-1"/>
          <w:p>
            <w:pPr>
              <w:pStyle w:val="Compact"/>
              <w:jc w:val="center"/>
            </w:pPr>
            <w:r>
              <w:drawing>
                <wp:inline>
                  <wp:extent cx="5334000" cy="2667000"/>
                  <wp:effectExtent b="0" l="0" r="0" t="0"/>
                  <wp:docPr descr="" title="" id="160" name="Picture"/>
                  <a:graphic>
                    <a:graphicData uri="http://schemas.openxmlformats.org/drawingml/2006/picture">
                      <pic:pic>
                        <pic:nvPicPr>
                          <pic:cNvPr descr="CIE_files/figure-docx/fig-spock_ts-1.png" id="161" name="Picture"/>
                          <pic:cNvPicPr>
                            <a:picLocks noChangeArrowheads="1" noChangeAspect="1"/>
                          </pic:cNvPicPr>
                        </pic:nvPicPr>
                        <pic:blipFill>
                          <a:blip r:embed="rId15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SPock model.</w:t>
            </w:r>
          </w:p>
          <w:bookmarkEnd w:id="162"/>
        </w:tc>
      </w:tr>
    </w:tbl>
    <w:tbl>
      <w:tblPr>
        <w:tblStyle w:val="Table"/>
        <w:tblW w:type="pct" w:w="5000"/>
        <w:tblLayout w:type="fixed"/>
        <w:tblLook w:firstRow="0" w:lastRow="0" w:firstColumn="0" w:lastColumn="0" w:noHBand="0" w:noVBand="0" w:val="0000"/>
      </w:tblPr>
      <w:tblGrid>
        <w:gridCol w:w="7920"/>
      </w:tblGrid>
      <w:tr>
        <w:tc>
          <w:tcPr/>
          <w:bookmarkStart w:id="166" w:name="fig-spock_ts-2"/>
          <w:p>
            <w:pPr>
              <w:pStyle w:val="Compact"/>
              <w:jc w:val="center"/>
            </w:pPr>
            <w:r>
              <w:drawing>
                <wp:inline>
                  <wp:extent cx="5334000" cy="2667000"/>
                  <wp:effectExtent b="0" l="0" r="0" t="0"/>
                  <wp:docPr descr="" title="" id="164" name="Picture"/>
                  <a:graphic>
                    <a:graphicData uri="http://schemas.openxmlformats.org/drawingml/2006/picture">
                      <pic:pic>
                        <pic:nvPicPr>
                          <pic:cNvPr descr="CIE_files/figure-docx/fig-spock_ts-2.png" id="165" name="Picture"/>
                          <pic:cNvPicPr>
                            <a:picLocks noChangeArrowheads="1" noChangeAspect="1"/>
                          </pic:cNvPicPr>
                        </pic:nvPicPr>
                        <pic:blipFill>
                          <a:blip r:embed="rId16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6"/>
        </w:tc>
      </w:tr>
    </w:tbl>
    <w:bookmarkEnd w:id="167"/>
    <w:bookmarkEnd w:id="168"/>
    <w:bookmarkStart w:id="175" w:name="X2ca98e5c32d63d527c2188348bd8baaabbd45e2"/>
    <w:p>
      <w:pPr>
        <w:pStyle w:val="Heading1"/>
      </w:pPr>
      <w:r>
        <w:t xml:space="preserve">Bottom-trawl survey spatial distribution modeling</w:t>
      </w:r>
    </w:p>
    <w:bookmarkStart w:id="169"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p>
    <w:bookmarkEnd w:id="169"/>
    <w:bookmarkStart w:id="174"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33</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73" w:name="fig-sdm_age"/>
          <w:p>
            <w:pPr>
              <w:pStyle w:val="Compact"/>
              <w:jc w:val="center"/>
            </w:pPr>
            <w:r>
              <w:drawing>
                <wp:inline>
                  <wp:extent cx="5334000" cy="4798793"/>
                  <wp:effectExtent b="0" l="0" r="0" t="0"/>
                  <wp:docPr descr="" title="" id="171" name="Picture"/>
                  <a:graphic>
                    <a:graphicData uri="http://schemas.openxmlformats.org/drawingml/2006/picture">
                      <pic:pic>
                        <pic:nvPicPr>
                          <pic:cNvPr descr="figs/VAST_Age_Compare.png" id="172" name="Picture"/>
                          <pic:cNvPicPr>
                            <a:picLocks noChangeArrowheads="1" noChangeAspect="1"/>
                          </pic:cNvPicPr>
                        </pic:nvPicPr>
                        <pic:blipFill>
                          <a:blip r:embed="rId170"/>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sdmTMB model.</w:t>
            </w:r>
          </w:p>
          <w:bookmarkEnd w:id="173"/>
        </w:tc>
      </w:tr>
    </w:tbl>
    <w:bookmarkEnd w:id="174"/>
    <w:bookmarkEnd w:id="175"/>
    <w:bookmarkStart w:id="216" w:name="references"/>
    <w:p>
      <w:pPr>
        <w:pStyle w:val="Heading1"/>
      </w:pPr>
      <w:r>
        <w:t xml:space="preserve">References</w:t>
      </w:r>
    </w:p>
    <w:bookmarkStart w:id="215" w:name="refs"/>
    <w:bookmarkStart w:id="177"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76">
        <w:r>
          <w:rPr>
            <w:rStyle w:val="Hyperlink"/>
          </w:rPr>
          <w:t xml:space="preserve">https://doi.org/10.1016/j.fishres.2022.106303</w:t>
        </w:r>
      </w:hyperlink>
      <w:r>
        <w:t xml:space="preserve">.</w:t>
      </w:r>
    </w:p>
    <w:bookmarkEnd w:id="177"/>
    <w:bookmarkStart w:id="179"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78">
        <w:r>
          <w:rPr>
            <w:rStyle w:val="Hyperlink"/>
          </w:rPr>
          <w:t xml:space="preserve">https://doi.org/10.1101/2022.03.24.485545</w:t>
        </w:r>
      </w:hyperlink>
      <w:r>
        <w:t xml:space="preserve">.</w:t>
      </w:r>
    </w:p>
    <w:bookmarkEnd w:id="179"/>
    <w:bookmarkStart w:id="180"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80"/>
    <w:bookmarkStart w:id="182"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81">
        <w:r>
          <w:rPr>
            <w:rStyle w:val="Hyperlink"/>
          </w:rPr>
          <w:t xml:space="preserve">https://doi.org/10.1111/faf.12891</w:t>
        </w:r>
      </w:hyperlink>
      <w:r>
        <w:t xml:space="preserve">.</w:t>
      </w:r>
    </w:p>
    <w:bookmarkEnd w:id="182"/>
    <w:bookmarkStart w:id="184"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83">
        <w:r>
          <w:rPr>
            <w:rStyle w:val="Hyperlink"/>
          </w:rPr>
          <w:t xml:space="preserve">https://doi.org/10.1080/10618600.1996.10474708</w:t>
        </w:r>
      </w:hyperlink>
      <w:r>
        <w:t xml:space="preserve">.</w:t>
      </w:r>
    </w:p>
    <w:bookmarkEnd w:id="184"/>
    <w:bookmarkStart w:id="185"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185"/>
    <w:bookmarkStart w:id="187"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186">
        <w:r>
          <w:rPr>
            <w:rStyle w:val="Hyperlink"/>
          </w:rPr>
          <w:t xml:space="preserve">http://florianhartig.github.io/DHARMa/</w:t>
        </w:r>
      </w:hyperlink>
      <w:r>
        <w:t xml:space="preserve">.</w:t>
      </w:r>
    </w:p>
    <w:bookmarkEnd w:id="187"/>
    <w:bookmarkStart w:id="189"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188">
        <w:r>
          <w:rPr>
            <w:rStyle w:val="Hyperlink"/>
          </w:rPr>
          <w:t xml:space="preserve">https://doi.org/10.1139/cjfas-2018-0112</w:t>
        </w:r>
      </w:hyperlink>
      <w:r>
        <w:t xml:space="preserve">.</w:t>
      </w:r>
    </w:p>
    <w:bookmarkEnd w:id="189"/>
    <w:bookmarkStart w:id="191"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190">
        <w:r>
          <w:rPr>
            <w:rStyle w:val="Hyperlink"/>
          </w:rPr>
          <w:t xml:space="preserve">https://www.npfmc.org/wp-content/PDFdocuments/SAFE/2024/EBSmultispp.pdf</w:t>
        </w:r>
      </w:hyperlink>
      <w:r>
        <w:t xml:space="preserve">.</w:t>
      </w:r>
    </w:p>
    <w:bookmarkEnd w:id="191"/>
    <w:bookmarkStart w:id="193"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192">
        <w:r>
          <w:rPr>
            <w:rStyle w:val="Hyperlink"/>
          </w:rPr>
          <w:t xml:space="preserve">http://afsc-assessments.github.io/EBSpollock/</w:t>
        </w:r>
      </w:hyperlink>
      <w:r>
        <w:t xml:space="preserve">.</w:t>
      </w:r>
    </w:p>
    <w:bookmarkEnd w:id="193"/>
    <w:bookmarkStart w:id="194"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194"/>
    <w:bookmarkStart w:id="196"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195">
        <w:r>
          <w:rPr>
            <w:rStyle w:val="Hyperlink"/>
          </w:rPr>
          <w:t xml:space="preserve">https://doi.org/10.1016/j.fishres.2012.10.012</w:t>
        </w:r>
      </w:hyperlink>
      <w:r>
        <w:t xml:space="preserve">.</w:t>
      </w:r>
    </w:p>
    <w:bookmarkEnd w:id="196"/>
    <w:bookmarkStart w:id="198"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197">
        <w:r>
          <w:rPr>
            <w:rStyle w:val="Hyperlink"/>
          </w:rPr>
          <w:t xml:space="preserve">https://doi.org/10.1016/j.fishres.2014.01.014</w:t>
        </w:r>
      </w:hyperlink>
      <w:r>
        <w:t xml:space="preserve">.</w:t>
      </w:r>
    </w:p>
    <w:bookmarkEnd w:id="198"/>
    <w:bookmarkStart w:id="200"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199">
        <w:r>
          <w:rPr>
            <w:rStyle w:val="Hyperlink"/>
          </w:rPr>
          <w:t xml:space="preserve">https://doi.org/10.1093/icesjms/fsab078</w:t>
        </w:r>
      </w:hyperlink>
      <w:r>
        <w:t xml:space="preserve">.</w:t>
      </w:r>
    </w:p>
    <w:bookmarkEnd w:id="200"/>
    <w:bookmarkStart w:id="202"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01">
        <w:r>
          <w:rPr>
            <w:rStyle w:val="Hyperlink"/>
          </w:rPr>
          <w:t xml:space="preserve">https://doi.org/10.1111/fog.12494</w:t>
        </w:r>
      </w:hyperlink>
      <w:r>
        <w:t xml:space="preserve">.</w:t>
      </w:r>
    </w:p>
    <w:bookmarkEnd w:id="202"/>
    <w:bookmarkStart w:id="203"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03"/>
    <w:bookmarkStart w:id="205"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04">
        <w:r>
          <w:rPr>
            <w:rStyle w:val="Hyperlink"/>
          </w:rPr>
          <w:t xml:space="preserve">https://doi.org/10.25923/1wwh-q418</w:t>
        </w:r>
      </w:hyperlink>
      <w:r>
        <w:t xml:space="preserve">.</w:t>
      </w:r>
    </w:p>
    <w:bookmarkEnd w:id="205"/>
    <w:bookmarkStart w:id="207"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06">
        <w:r>
          <w:rPr>
            <w:rStyle w:val="Hyperlink"/>
          </w:rPr>
          <w:t xml:space="preserve">https://doi.org/10.1016/j.fishres.2021.105967</w:t>
        </w:r>
      </w:hyperlink>
      <w:r>
        <w:t xml:space="preserve">.</w:t>
      </w:r>
    </w:p>
    <w:bookmarkEnd w:id="207"/>
    <w:bookmarkStart w:id="209"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08">
        <w:r>
          <w:rPr>
            <w:rStyle w:val="Hyperlink"/>
          </w:rPr>
          <w:t xml:space="preserve">https://doi.org/10.1139/cjfas-2017-0266</w:t>
        </w:r>
      </w:hyperlink>
      <w:r>
        <w:t xml:space="preserve">.</w:t>
      </w:r>
    </w:p>
    <w:bookmarkEnd w:id="209"/>
    <w:bookmarkStart w:id="211"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10">
        <w:r>
          <w:rPr>
            <w:rStyle w:val="Hyperlink"/>
          </w:rPr>
          <w:t xml:space="preserve">https://doi.org/10.1002/lno.11238</w:t>
        </w:r>
      </w:hyperlink>
      <w:r>
        <w:t xml:space="preserve">.</w:t>
      </w:r>
    </w:p>
    <w:bookmarkEnd w:id="211"/>
    <w:bookmarkStart w:id="212"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12"/>
    <w:bookmarkStart w:id="214"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13">
        <w:r>
          <w:rPr>
            <w:rStyle w:val="Hyperlink"/>
          </w:rPr>
          <w:t xml:space="preserve">https://doi.org/10.1016/j.fishres.2015.11.016</w:t>
        </w:r>
      </w:hyperlink>
      <w:r>
        <w:t xml:space="preserve">.</w:t>
      </w:r>
    </w:p>
    <w:bookmarkEnd w:id="214"/>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47" Target="media/rId47.png" /><Relationship Type="http://schemas.openxmlformats.org/officeDocument/2006/relationships/image" Id="rId170" Target="media/rId170.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192" Target="http://afsc-assessments.github.io/EBSpollock/" TargetMode="External" /><Relationship Type="http://schemas.openxmlformats.org/officeDocument/2006/relationships/hyperlink" Id="rId186"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0" Target="https://doi.org/10.1002/lno.11238" TargetMode="External" /><Relationship Type="http://schemas.openxmlformats.org/officeDocument/2006/relationships/hyperlink" Id="rId195" Target="https://doi.org/10.1016/j.fishres.2012.10.012" TargetMode="External" /><Relationship Type="http://schemas.openxmlformats.org/officeDocument/2006/relationships/hyperlink" Id="rId197" Target="https://doi.org/10.1016/j.fishres.2014.01.014" TargetMode="External" /><Relationship Type="http://schemas.openxmlformats.org/officeDocument/2006/relationships/hyperlink" Id="rId213" Target="https://doi.org/10.1016/j.fishres.2015.11.016" TargetMode="External" /><Relationship Type="http://schemas.openxmlformats.org/officeDocument/2006/relationships/hyperlink" Id="rId206" Target="https://doi.org/10.1016/j.fishres.2021.105967" TargetMode="External" /><Relationship Type="http://schemas.openxmlformats.org/officeDocument/2006/relationships/hyperlink" Id="rId176" Target="https://doi.org/10.1016/j.fishres.2022.106303" TargetMode="External" /><Relationship Type="http://schemas.openxmlformats.org/officeDocument/2006/relationships/hyperlink" Id="rId183" Target="https://doi.org/10.1080/10618600.1996.10474708" TargetMode="External" /><Relationship Type="http://schemas.openxmlformats.org/officeDocument/2006/relationships/hyperlink" Id="rId199" Target="https://doi.org/10.1093/icesjms/fsab078" TargetMode="External" /><Relationship Type="http://schemas.openxmlformats.org/officeDocument/2006/relationships/hyperlink" Id="rId178" Target="https://doi.org/10.1101/2022.03.24.485545" TargetMode="External" /><Relationship Type="http://schemas.openxmlformats.org/officeDocument/2006/relationships/hyperlink" Id="rId181" Target="https://doi.org/10.1111/faf.12891" TargetMode="External" /><Relationship Type="http://schemas.openxmlformats.org/officeDocument/2006/relationships/hyperlink" Id="rId201" Target="https://doi.org/10.1111/fog.12494" TargetMode="External" /><Relationship Type="http://schemas.openxmlformats.org/officeDocument/2006/relationships/hyperlink" Id="rId208" Target="https://doi.org/10.1139/cjfas-2017-0266" TargetMode="External" /><Relationship Type="http://schemas.openxmlformats.org/officeDocument/2006/relationships/hyperlink" Id="rId188" Target="https://doi.org/10.1139/cjfas-2018-0112" TargetMode="External" /><Relationship Type="http://schemas.openxmlformats.org/officeDocument/2006/relationships/hyperlink" Id="rId204" Target="https://doi.org/10.25923/1wwh-q418" TargetMode="External" /><Relationship Type="http://schemas.openxmlformats.org/officeDocument/2006/relationships/hyperlink" Id="rId118" Target="https://github.com/noaa-afsc/EBS_pollock/tree/main/runs/SAM/poll24" TargetMode="External" /><Relationship Type="http://schemas.openxmlformats.org/officeDocument/2006/relationships/hyperlink" Id="rId190"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192" Target="http://afsc-assessments.github.io/EBSpollock/" TargetMode="External" /><Relationship Type="http://schemas.openxmlformats.org/officeDocument/2006/relationships/hyperlink" Id="rId186"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0" Target="https://doi.org/10.1002/lno.11238" TargetMode="External" /><Relationship Type="http://schemas.openxmlformats.org/officeDocument/2006/relationships/hyperlink" Id="rId195" Target="https://doi.org/10.1016/j.fishres.2012.10.012" TargetMode="External" /><Relationship Type="http://schemas.openxmlformats.org/officeDocument/2006/relationships/hyperlink" Id="rId197" Target="https://doi.org/10.1016/j.fishres.2014.01.014" TargetMode="External" /><Relationship Type="http://schemas.openxmlformats.org/officeDocument/2006/relationships/hyperlink" Id="rId213" Target="https://doi.org/10.1016/j.fishres.2015.11.016" TargetMode="External" /><Relationship Type="http://schemas.openxmlformats.org/officeDocument/2006/relationships/hyperlink" Id="rId206" Target="https://doi.org/10.1016/j.fishres.2021.105967" TargetMode="External" /><Relationship Type="http://schemas.openxmlformats.org/officeDocument/2006/relationships/hyperlink" Id="rId176" Target="https://doi.org/10.1016/j.fishres.2022.106303" TargetMode="External" /><Relationship Type="http://schemas.openxmlformats.org/officeDocument/2006/relationships/hyperlink" Id="rId183" Target="https://doi.org/10.1080/10618600.1996.10474708" TargetMode="External" /><Relationship Type="http://schemas.openxmlformats.org/officeDocument/2006/relationships/hyperlink" Id="rId199" Target="https://doi.org/10.1093/icesjms/fsab078" TargetMode="External" /><Relationship Type="http://schemas.openxmlformats.org/officeDocument/2006/relationships/hyperlink" Id="rId178" Target="https://doi.org/10.1101/2022.03.24.485545" TargetMode="External" /><Relationship Type="http://schemas.openxmlformats.org/officeDocument/2006/relationships/hyperlink" Id="rId181" Target="https://doi.org/10.1111/faf.12891" TargetMode="External" /><Relationship Type="http://schemas.openxmlformats.org/officeDocument/2006/relationships/hyperlink" Id="rId201" Target="https://doi.org/10.1111/fog.12494" TargetMode="External" /><Relationship Type="http://schemas.openxmlformats.org/officeDocument/2006/relationships/hyperlink" Id="rId208" Target="https://doi.org/10.1139/cjfas-2017-0266" TargetMode="External" /><Relationship Type="http://schemas.openxmlformats.org/officeDocument/2006/relationships/hyperlink" Id="rId188" Target="https://doi.org/10.1139/cjfas-2018-0112" TargetMode="External" /><Relationship Type="http://schemas.openxmlformats.org/officeDocument/2006/relationships/hyperlink" Id="rId204" Target="https://doi.org/10.25923/1wwh-q418" TargetMode="External" /><Relationship Type="http://schemas.openxmlformats.org/officeDocument/2006/relationships/hyperlink" Id="rId118" Target="https://github.com/noaa-afsc/EBS_pollock/tree/main/runs/SAM/poll24" TargetMode="External" /><Relationship Type="http://schemas.openxmlformats.org/officeDocument/2006/relationships/hyperlink" Id="rId190"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Sofia Wassermann</dc:creator>
  <cp:keywords/>
  <dcterms:created xsi:type="dcterms:W3CDTF">2025-05-06T01:49:11Z</dcterms:created>
  <dcterms:modified xsi:type="dcterms:W3CDTF">2025-05-06T01:49:11Z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reference-docx">
    <vt:lpwstr>template.docx</vt:lpwstr>
  </property>
  <property fmtid="{D5CDD505-2E9C-101B-9397-08002B2CF9AE}" pid="16" name="subtitle">
    <vt:lpwstr>May 2025, CIE review</vt:lpwstr>
  </property>
  <property fmtid="{D5CDD505-2E9C-101B-9397-08002B2CF9AE}" pid="17" name="toc-title">
    <vt:lpwstr>Table of contents</vt:lpwstr>
  </property>
</Properties>
</file>