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69.png" ContentType="image/png"/>
  <Override PartName="/word/media/rId173.png" ContentType="image/png"/>
  <Override PartName="/word/media/rId177.png" ContentType="image/png"/>
  <Override PartName="/word/media/rId133.png" ContentType="image/png"/>
  <Override PartName="/word/media/rId137.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182.png" ContentType="image/png"/>
  <Override PartName="/word/media/rId186.png" ContentType="image/png"/>
  <Override PartName="/word/media/rId190.png" ContentType="image/png"/>
  <Override PartName="/word/media/rId117.png" ContentType="image/png"/>
  <Override PartName="/word/media/rId129.png" ContentType="image/png"/>
  <Override PartName="/word/media/rId121.png" ContentType="image/png"/>
  <Override PartName="/word/media/rId125.png" ContentType="image/png"/>
  <Override PartName="/word/media/rId110.png" ContentType="image/png"/>
  <Override PartName="/word/media/rId47.png" ContentType="image/png"/>
  <Override PartName="/word/media/rId201.png" ContentType="image/png"/>
  <Override PartName="/word/media/rId196.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6"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p>
      <w:pPr>
        <w:pStyle w:val="BodyText"/>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3" w:name="fig-urmy_ats"/>
          <w:p>
            <w:pPr>
              <w:pStyle w:val="Compact"/>
              <w:jc w:val="center"/>
            </w:pPr>
            <w:r>
              <w:drawing>
                <wp:inline>
                  <wp:extent cx="5334000" cy="4267200"/>
                  <wp:effectExtent b="0" l="0" r="0" t="0"/>
                  <wp:docPr descr="" title="" id="111" name="Picture"/>
                  <a:graphic>
                    <a:graphicData uri="http://schemas.openxmlformats.org/drawingml/2006/picture">
                      <pic:pic>
                        <pic:nvPicPr>
                          <pic:cNvPr descr="CIE_files/figure-docx/fig-urmy_ats-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5"/>
        </w:tc>
      </w:tr>
    </w:tbl>
    <w:bookmarkEnd w:id="116"/>
    <w:bookmarkStart w:id="195" w:name="alternative-assessment-software"/>
    <w:p>
      <w:pPr>
        <w:pStyle w:val="Heading1"/>
      </w:pPr>
      <w:r>
        <w:t xml:space="preserve">Alternative assessment software</w:t>
      </w:r>
    </w:p>
    <w:bookmarkStart w:id="14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0" w:name="fig-ss3"/>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s3-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1"/>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synts-2"/>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ynts-2.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28"/>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fig-ss3vpmsel"/>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ss3vpmsel-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1"/>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pmvss3-2"/>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pmvss3-2.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0"/>
        </w:tc>
      </w:tr>
    </w:tbl>
    <w:bookmarkEnd w:id="141"/>
    <w:bookmarkStart w:id="167"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6"/>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p>
      <w:pPr>
        <w:pStyle w:val="SourceCode"/>
      </w:pPr>
      <w:r>
        <w:rPr>
          <w:rStyle w:val="VerbatimChar"/>
        </w:rPr>
        <w:t xml:space="preserve">        type   source          se      value Year</w:t>
      </w:r>
      <w:r>
        <w:br/>
      </w:r>
      <w:r>
        <w:rPr>
          <w:rStyle w:val="VerbatimChar"/>
        </w:rPr>
        <w:t xml:space="preserve">1    Biomass CEA, FE    598.17756  3439.3743 1964</w:t>
      </w:r>
      <w:r>
        <w:br/>
      </w:r>
      <w:r>
        <w:rPr>
          <w:rStyle w:val="VerbatimChar"/>
        </w:rPr>
        <w:t xml:space="preserve">2    Biomass CEA, FE    527.87773  4308.0457 1965</w:t>
      </w:r>
      <w:r>
        <w:br/>
      </w:r>
      <w:r>
        <w:rPr>
          <w:rStyle w:val="VerbatimChar"/>
        </w:rPr>
        <w:t xml:space="preserve">3    Biomass CEA, FE    489.70388  4912.3713 1966</w:t>
      </w:r>
      <w:r>
        <w:br/>
      </w:r>
      <w:r>
        <w:rPr>
          <w:rStyle w:val="VerbatimChar"/>
        </w:rPr>
        <w:t xml:space="preserve">4    Biomass CEA, FE    494.03978  6013.3280 1967</w:t>
      </w:r>
      <w:r>
        <w:br/>
      </w:r>
      <w:r>
        <w:rPr>
          <w:rStyle w:val="VerbatimChar"/>
        </w:rPr>
        <w:t xml:space="preserve">5    Biomass CEA, FE    532.92400  6969.1707 1968</w:t>
      </w:r>
      <w:r>
        <w:br/>
      </w:r>
      <w:r>
        <w:rPr>
          <w:rStyle w:val="VerbatimChar"/>
        </w:rPr>
        <w:t xml:space="preserve">6    Biomass CEA, FE    536.81933  7701.4589 1969</w:t>
      </w:r>
      <w:r>
        <w:br/>
      </w:r>
      <w:r>
        <w:rPr>
          <w:rStyle w:val="VerbatimChar"/>
        </w:rPr>
        <w:t xml:space="preserve">7    Biomass CEA, FE    557.82544  8534.3333 1970</w:t>
      </w:r>
      <w:r>
        <w:br/>
      </w:r>
      <w:r>
        <w:rPr>
          <w:rStyle w:val="VerbatimChar"/>
        </w:rPr>
        <w:t xml:space="preserve">8    Biomass CEA, FE    549.78156  8506.2570 1971</w:t>
      </w:r>
      <w:r>
        <w:br/>
      </w:r>
      <w:r>
        <w:rPr>
          <w:rStyle w:val="VerbatimChar"/>
        </w:rPr>
        <w:t xml:space="preserve">9    Biomass CEA, FE    525.71007  7769.6392 1972</w:t>
      </w:r>
      <w:r>
        <w:br/>
      </w:r>
      <w:r>
        <w:rPr>
          <w:rStyle w:val="VerbatimChar"/>
        </w:rPr>
        <w:t xml:space="preserve">10   Biomass CEA, FE    469.16874  6977.6100 1973</w:t>
      </w:r>
      <w:r>
        <w:br/>
      </w:r>
      <w:r>
        <w:rPr>
          <w:rStyle w:val="VerbatimChar"/>
        </w:rPr>
        <w:t xml:space="preserve">11   Biomass CEA, FE    419.40173  5905.0511 1974</w:t>
      </w:r>
      <w:r>
        <w:br/>
      </w:r>
      <w:r>
        <w:rPr>
          <w:rStyle w:val="VerbatimChar"/>
        </w:rPr>
        <w:t xml:space="preserve">12   Biomass CEA, FE    361.17764  5026.7801 1975</w:t>
      </w:r>
      <w:r>
        <w:br/>
      </w:r>
      <w:r>
        <w:rPr>
          <w:rStyle w:val="VerbatimChar"/>
        </w:rPr>
        <w:t xml:space="preserve">13   Biomass CEA, FE    296.02148  4475.7364 1976</w:t>
      </w:r>
      <w:r>
        <w:br/>
      </w:r>
      <w:r>
        <w:rPr>
          <w:rStyle w:val="VerbatimChar"/>
        </w:rPr>
        <w:t xml:space="preserve">14   Biomass CEA, FE    248.40359  4103.9810 1977</w:t>
      </w:r>
      <w:r>
        <w:br/>
      </w:r>
      <w:r>
        <w:rPr>
          <w:rStyle w:val="VerbatimChar"/>
        </w:rPr>
        <w:t xml:space="preserve">15   Biomass CEA, FE    229.75066  4303.2954 1978</w:t>
      </w:r>
      <w:r>
        <w:br/>
      </w:r>
      <w:r>
        <w:rPr>
          <w:rStyle w:val="VerbatimChar"/>
        </w:rPr>
        <w:t xml:space="preserve">16   Biomass CEA, FE    212.61136  5517.9693 1979</w:t>
      </w:r>
      <w:r>
        <w:br/>
      </w:r>
      <w:r>
        <w:rPr>
          <w:rStyle w:val="VerbatimChar"/>
        </w:rPr>
        <w:t xml:space="preserve">17   Biomass CEA, FE    204.64407  6322.2711 1980</w:t>
      </w:r>
      <w:r>
        <w:br/>
      </w:r>
      <w:r>
        <w:rPr>
          <w:rStyle w:val="VerbatimChar"/>
        </w:rPr>
        <w:t xml:space="preserve">18   Biomass CEA, FE    231.25071  7922.8261 1981</w:t>
      </w:r>
      <w:r>
        <w:br/>
      </w:r>
      <w:r>
        <w:rPr>
          <w:rStyle w:val="VerbatimChar"/>
        </w:rPr>
        <w:t xml:space="preserve">19   Biomass CEA, FE    284.58651  9567.1556 1982</w:t>
      </w:r>
      <w:r>
        <w:br/>
      </w:r>
      <w:r>
        <w:rPr>
          <w:rStyle w:val="VerbatimChar"/>
        </w:rPr>
        <w:t xml:space="preserve">20   Biomass CEA, FE    328.12244 11015.7151 1983</w:t>
      </w:r>
      <w:r>
        <w:br/>
      </w:r>
      <w:r>
        <w:rPr>
          <w:rStyle w:val="VerbatimChar"/>
        </w:rPr>
        <w:t xml:space="preserve">21   Biomass CEA, FE    330.20065 10806.5357 1984</w:t>
      </w:r>
      <w:r>
        <w:br/>
      </w:r>
      <w:r>
        <w:rPr>
          <w:rStyle w:val="VerbatimChar"/>
        </w:rPr>
        <w:t xml:space="preserve">22   Biomass CEA, FE    386.68764 12882.0868 1985</w:t>
      </w:r>
      <w:r>
        <w:br/>
      </w:r>
      <w:r>
        <w:rPr>
          <w:rStyle w:val="VerbatimChar"/>
        </w:rPr>
        <w:t xml:space="preserve">23   Biomass CEA, FE    362.30880 11770.4904 1986</w:t>
      </w:r>
      <w:r>
        <w:br/>
      </w:r>
      <w:r>
        <w:rPr>
          <w:rStyle w:val="VerbatimChar"/>
        </w:rPr>
        <w:t xml:space="preserve">24   Biomass CEA, FE    325.01055 11744.3525 1987</w:t>
      </w:r>
      <w:r>
        <w:br/>
      </w:r>
      <w:r>
        <w:rPr>
          <w:rStyle w:val="VerbatimChar"/>
        </w:rPr>
        <w:t xml:space="preserve">25   Biomass CEA, FE    298.67476 10734.6996 1988</w:t>
      </w:r>
      <w:r>
        <w:br/>
      </w:r>
      <w:r>
        <w:rPr>
          <w:rStyle w:val="VerbatimChar"/>
        </w:rPr>
        <w:t xml:space="preserve">26   Biomass CEA, FE    271.66492  9254.7113 1989</w:t>
      </w:r>
      <w:r>
        <w:br/>
      </w:r>
      <w:r>
        <w:rPr>
          <w:rStyle w:val="VerbatimChar"/>
        </w:rPr>
        <w:t xml:space="preserve">27   Biomass CEA, FE    249.10075  8901.5154 1990</w:t>
      </w:r>
      <w:r>
        <w:br/>
      </w:r>
      <w:r>
        <w:rPr>
          <w:rStyle w:val="VerbatimChar"/>
        </w:rPr>
        <w:t xml:space="preserve">28   Biomass CEA, FE    262.00036  9884.7445 1991</w:t>
      </w:r>
      <w:r>
        <w:br/>
      </w:r>
      <w:r>
        <w:rPr>
          <w:rStyle w:val="VerbatimChar"/>
        </w:rPr>
        <w:t xml:space="preserve">29   Biomass CEA, FE    267.66529 10430.5415 1992</w:t>
      </w:r>
      <w:r>
        <w:br/>
      </w:r>
      <w:r>
        <w:rPr>
          <w:rStyle w:val="VerbatimChar"/>
        </w:rPr>
        <w:t xml:space="preserve">30   Biomass CEA, FE    271.21434 10603.9665 1993</w:t>
      </w:r>
      <w:r>
        <w:br/>
      </w:r>
      <w:r>
        <w:rPr>
          <w:rStyle w:val="VerbatimChar"/>
        </w:rPr>
        <w:t xml:space="preserve">31   Biomass CEA, FE    267.77579 10405.8978 1994</w:t>
      </w:r>
      <w:r>
        <w:br/>
      </w:r>
      <w:r>
        <w:rPr>
          <w:rStyle w:val="VerbatimChar"/>
        </w:rPr>
        <w:t xml:space="preserve">32   Biomass CEA, FE    230.25118  8469.3684 1995</w:t>
      </w:r>
      <w:r>
        <w:br/>
      </w:r>
      <w:r>
        <w:rPr>
          <w:rStyle w:val="VerbatimChar"/>
        </w:rPr>
        <w:t xml:space="preserve">33   Biomass CEA, FE    235.26339  8549.1984 1996</w:t>
      </w:r>
      <w:r>
        <w:br/>
      </w:r>
      <w:r>
        <w:rPr>
          <w:rStyle w:val="VerbatimChar"/>
        </w:rPr>
        <w:t xml:space="preserve">34   Biomass CEA, FE    218.96539  7943.5994 1997</w:t>
      </w:r>
      <w:r>
        <w:br/>
      </w:r>
      <w:r>
        <w:rPr>
          <w:rStyle w:val="VerbatimChar"/>
        </w:rPr>
        <w:t xml:space="preserve">35   Biomass CEA, FE    221.05305  8155.2409 1998</w:t>
      </w:r>
      <w:r>
        <w:br/>
      </w:r>
      <w:r>
        <w:rPr>
          <w:rStyle w:val="VerbatimChar"/>
        </w:rPr>
        <w:t xml:space="preserve">36   Biomass CEA, FE    223.92060  8514.3632 1999</w:t>
      </w:r>
      <w:r>
        <w:br/>
      </w:r>
      <w:r>
        <w:rPr>
          <w:rStyle w:val="VerbatimChar"/>
        </w:rPr>
        <w:t xml:space="preserve">37   Biomass CEA, FE    232.45297  9191.0886 2000</w:t>
      </w:r>
      <w:r>
        <w:br/>
      </w:r>
      <w:r>
        <w:rPr>
          <w:rStyle w:val="VerbatimChar"/>
        </w:rPr>
        <w:t xml:space="preserve">38   Biomass CEA, FE    228.81074  9254.6976 2001</w:t>
      </w:r>
      <w:r>
        <w:br/>
      </w:r>
      <w:r>
        <w:rPr>
          <w:rStyle w:val="VerbatimChar"/>
        </w:rPr>
        <w:t xml:space="preserve">39   Biomass CEA, FE    234.93795  9913.1315 2002</w:t>
      </w:r>
      <w:r>
        <w:br/>
      </w:r>
      <w:r>
        <w:rPr>
          <w:rStyle w:val="VerbatimChar"/>
        </w:rPr>
        <w:t xml:space="preserve">40   Biomass CEA, FE    261.17480 11416.5248 2003</w:t>
      </w:r>
      <w:r>
        <w:br/>
      </w:r>
      <w:r>
        <w:rPr>
          <w:rStyle w:val="VerbatimChar"/>
        </w:rPr>
        <w:t xml:space="preserve">41   Biomass CEA, FE    248.90825 10603.4771 2004</w:t>
      </w:r>
      <w:r>
        <w:br/>
      </w:r>
      <w:r>
        <w:rPr>
          <w:rStyle w:val="VerbatimChar"/>
        </w:rPr>
        <w:t xml:space="preserve">42   Biomass CEA, FE    216.65365  8781.8837 2005</w:t>
      </w:r>
      <w:r>
        <w:br/>
      </w:r>
      <w:r>
        <w:rPr>
          <w:rStyle w:val="VerbatimChar"/>
        </w:rPr>
        <w:t xml:space="preserve">43   Biomass CEA, FE    198.33784  7481.9211 2006</w:t>
      </w:r>
      <w:r>
        <w:br/>
      </w:r>
      <w:r>
        <w:rPr>
          <w:rStyle w:val="VerbatimChar"/>
        </w:rPr>
        <w:t xml:space="preserve">44   Biomass CEA, FE    194.07004  7033.9708 2007</w:t>
      </w:r>
      <w:r>
        <w:br/>
      </w:r>
      <w:r>
        <w:rPr>
          <w:rStyle w:val="VerbatimChar"/>
        </w:rPr>
        <w:t xml:space="preserve">45   Biomass CEA, FE    166.34360  5747.1408 2008</w:t>
      </w:r>
      <w:r>
        <w:br/>
      </w:r>
      <w:r>
        <w:rPr>
          <w:rStyle w:val="VerbatimChar"/>
        </w:rPr>
        <w:t xml:space="preserve">46   Biomass CEA, FE    195.92949  6981.7691 2009</w:t>
      </w:r>
      <w:r>
        <w:br/>
      </w:r>
      <w:r>
        <w:rPr>
          <w:rStyle w:val="VerbatimChar"/>
        </w:rPr>
        <w:t xml:space="preserve">47   Biomass CEA, FE    239.21780  9168.7340 2010</w:t>
      </w:r>
      <w:r>
        <w:br/>
      </w:r>
      <w:r>
        <w:rPr>
          <w:rStyle w:val="VerbatimChar"/>
        </w:rPr>
        <w:t xml:space="preserve">48   Biomass CEA, FE    257.68739 10059.8552 2011</w:t>
      </w:r>
      <w:r>
        <w:br/>
      </w:r>
      <w:r>
        <w:rPr>
          <w:rStyle w:val="VerbatimChar"/>
        </w:rPr>
        <w:t xml:space="preserve">49   Biomass CEA, FE    272.89309 10253.5790 2012</w:t>
      </w:r>
      <w:r>
        <w:br/>
      </w:r>
      <w:r>
        <w:rPr>
          <w:rStyle w:val="VerbatimChar"/>
        </w:rPr>
        <w:t xml:space="preserve">50   Biomass CEA, FE    302.18755 11181.0921 2013</w:t>
      </w:r>
      <w:r>
        <w:br/>
      </w:r>
      <w:r>
        <w:rPr>
          <w:rStyle w:val="VerbatimChar"/>
        </w:rPr>
        <w:t xml:space="preserve">51   Biomass CEA, FE    311.24082 12050.4492 2014</w:t>
      </w:r>
      <w:r>
        <w:br/>
      </w:r>
      <w:r>
        <w:rPr>
          <w:rStyle w:val="VerbatimChar"/>
        </w:rPr>
        <w:t xml:space="preserve">52   Biomass CEA, FE    324.71242 13024.1317 2015</w:t>
      </w:r>
      <w:r>
        <w:br/>
      </w:r>
      <w:r>
        <w:rPr>
          <w:rStyle w:val="VerbatimChar"/>
        </w:rPr>
        <w:t xml:space="preserve">53   Biomass CEA, FE    341.68890 13764.8013 2016</w:t>
      </w:r>
      <w:r>
        <w:br/>
      </w:r>
      <w:r>
        <w:rPr>
          <w:rStyle w:val="VerbatimChar"/>
        </w:rPr>
        <w:t xml:space="preserve">54   Biomass CEA, FE    324.71644 12420.6702 2017</w:t>
      </w:r>
      <w:r>
        <w:br/>
      </w:r>
      <w:r>
        <w:rPr>
          <w:rStyle w:val="VerbatimChar"/>
        </w:rPr>
        <w:t xml:space="preserve">55   Biomass CEA, FE    296.03558 10468.6550 2018</w:t>
      </w:r>
      <w:r>
        <w:br/>
      </w:r>
      <w:r>
        <w:rPr>
          <w:rStyle w:val="VerbatimChar"/>
        </w:rPr>
        <w:t xml:space="preserve">56   Biomass CEA, FE    300.44402 10687.9255 2019</w:t>
      </w:r>
      <w:r>
        <w:br/>
      </w:r>
      <w:r>
        <w:rPr>
          <w:rStyle w:val="VerbatimChar"/>
        </w:rPr>
        <w:t xml:space="preserve">57   Biomass CEA, FE    316.67426 10874.2267 2020</w:t>
      </w:r>
      <w:r>
        <w:br/>
      </w:r>
      <w:r>
        <w:rPr>
          <w:rStyle w:val="VerbatimChar"/>
        </w:rPr>
        <w:t xml:space="preserve">58   Biomass CEA, FE    334.30851 10410.3203 2021</w:t>
      </w:r>
      <w:r>
        <w:br/>
      </w:r>
      <w:r>
        <w:rPr>
          <w:rStyle w:val="VerbatimChar"/>
        </w:rPr>
        <w:t xml:space="preserve">59   Biomass CEA, FE    408.94727 11265.9671 2022</w:t>
      </w:r>
      <w:r>
        <w:br/>
      </w:r>
      <w:r>
        <w:rPr>
          <w:rStyle w:val="VerbatimChar"/>
        </w:rPr>
        <w:t xml:space="preserve">60   Biomass CEA, FE    421.92922 10146.7683 2023</w:t>
      </w:r>
      <w:r>
        <w:br/>
      </w:r>
      <w:r>
        <w:rPr>
          <w:rStyle w:val="VerbatimChar"/>
        </w:rPr>
        <w:t xml:space="preserve">61   Biomass CEA, FE    543.08471  9765.4338 2024</w:t>
      </w:r>
      <w:r>
        <w:br/>
      </w:r>
      <w:r>
        <w:rPr>
          <w:rStyle w:val="VerbatimChar"/>
        </w:rPr>
        <w:t xml:space="preserve">62       SSB CEA, FE    190.87167   863.5953 1964</w:t>
      </w:r>
      <w:r>
        <w:br/>
      </w:r>
      <w:r>
        <w:rPr>
          <w:rStyle w:val="VerbatimChar"/>
        </w:rPr>
        <w:t xml:space="preserve">63       SSB CEA, FE    167.78091  1070.9124 1965</w:t>
      </w:r>
      <w:r>
        <w:br/>
      </w:r>
      <w:r>
        <w:rPr>
          <w:rStyle w:val="VerbatimChar"/>
        </w:rPr>
        <w:t xml:space="preserve">64       SSB CEA, FE    168.79696  1247.6196 1966</w:t>
      </w:r>
      <w:r>
        <w:br/>
      </w:r>
      <w:r>
        <w:rPr>
          <w:rStyle w:val="VerbatimChar"/>
        </w:rPr>
        <w:t xml:space="preserve">65       SSB CEA, FE    170.36528  1482.5471 1967</w:t>
      </w:r>
      <w:r>
        <w:br/>
      </w:r>
      <w:r>
        <w:rPr>
          <w:rStyle w:val="VerbatimChar"/>
        </w:rPr>
        <w:t xml:space="preserve">66       SSB CEA, FE    192.62868  1746.4223 1968</w:t>
      </w:r>
      <w:r>
        <w:br/>
      </w:r>
      <w:r>
        <w:rPr>
          <w:rStyle w:val="VerbatimChar"/>
        </w:rPr>
        <w:t xml:space="preserve">67       SSB CEA, FE    210.26197  2010.8458 1969</w:t>
      </w:r>
      <w:r>
        <w:br/>
      </w:r>
      <w:r>
        <w:rPr>
          <w:rStyle w:val="VerbatimChar"/>
        </w:rPr>
        <w:t xml:space="preserve">68       SSB CEA, FE    208.87197  2122.3618 1970</w:t>
      </w:r>
      <w:r>
        <w:br/>
      </w:r>
      <w:r>
        <w:rPr>
          <w:rStyle w:val="VerbatimChar"/>
        </w:rPr>
        <w:t xml:space="preserve">69       SSB CEA, FE    217.68088  2250.4911 1971</w:t>
      </w:r>
      <w:r>
        <w:br/>
      </w:r>
      <w:r>
        <w:rPr>
          <w:rStyle w:val="VerbatimChar"/>
        </w:rPr>
        <w:t xml:space="preserve">70       SSB CEA, FE    201.71375  2139.8496 1972</w:t>
      </w:r>
      <w:r>
        <w:br/>
      </w:r>
      <w:r>
        <w:rPr>
          <w:rStyle w:val="VerbatimChar"/>
        </w:rPr>
        <w:t xml:space="preserve">71       SSB CEA, FE    192.23652  1916.2478 1973</w:t>
      </w:r>
      <w:r>
        <w:br/>
      </w:r>
      <w:r>
        <w:rPr>
          <w:rStyle w:val="VerbatimChar"/>
        </w:rPr>
        <w:t xml:space="preserve">72       SSB CEA, FE    177.27196  1538.3620 1974</w:t>
      </w:r>
      <w:r>
        <w:br/>
      </w:r>
      <w:r>
        <w:rPr>
          <w:rStyle w:val="VerbatimChar"/>
        </w:rPr>
        <w:t xml:space="preserve">73       SSB CEA, FE    167.26824  1408.1008 1975</w:t>
      </w:r>
      <w:r>
        <w:br/>
      </w:r>
      <w:r>
        <w:rPr>
          <w:rStyle w:val="VerbatimChar"/>
        </w:rPr>
        <w:t xml:space="preserve">74       SSB CEA, FE    126.52876  1216.5327 1976</w:t>
      </w:r>
      <w:r>
        <w:br/>
      </w:r>
      <w:r>
        <w:rPr>
          <w:rStyle w:val="VerbatimChar"/>
        </w:rPr>
        <w:t xml:space="preserve">75       SSB CEA, FE    133.80915  1338.4520 1977</w:t>
      </w:r>
      <w:r>
        <w:br/>
      </w:r>
      <w:r>
        <w:rPr>
          <w:rStyle w:val="VerbatimChar"/>
        </w:rPr>
        <w:t xml:space="preserve">76       SSB CEA, FE    112.85780  1143.4891 1978</w:t>
      </w:r>
      <w:r>
        <w:br/>
      </w:r>
      <w:r>
        <w:rPr>
          <w:rStyle w:val="VerbatimChar"/>
        </w:rPr>
        <w:t xml:space="preserve">77       SSB CEA, FE     93.93469  1064.0355 1979</w:t>
      </w:r>
      <w:r>
        <w:br/>
      </w:r>
      <w:r>
        <w:rPr>
          <w:rStyle w:val="VerbatimChar"/>
        </w:rPr>
        <w:t xml:space="preserve">78       SSB CEA, FE     85.76932  1282.6114 1980</w:t>
      </w:r>
      <w:r>
        <w:br/>
      </w:r>
      <w:r>
        <w:rPr>
          <w:rStyle w:val="VerbatimChar"/>
        </w:rPr>
        <w:t xml:space="preserve">79       SSB CEA, FE     80.63457  1947.5565 1981</w:t>
      </w:r>
      <w:r>
        <w:br/>
      </w:r>
      <w:r>
        <w:rPr>
          <w:rStyle w:val="VerbatimChar"/>
        </w:rPr>
        <w:t xml:space="preserve">80       SSB CEA, FE     94.77074  2703.1509 1982</w:t>
      </w:r>
      <w:r>
        <w:br/>
      </w:r>
      <w:r>
        <w:rPr>
          <w:rStyle w:val="VerbatimChar"/>
        </w:rPr>
        <w:t xml:space="preserve">81       SSB CEA, FE    127.72116  3662.0451 1983</w:t>
      </w:r>
      <w:r>
        <w:br/>
      </w:r>
      <w:r>
        <w:rPr>
          <w:rStyle w:val="VerbatimChar"/>
        </w:rPr>
        <w:t xml:space="preserve">82       SSB CEA, FE    139.32211  3812.6062 1984</w:t>
      </w:r>
      <w:r>
        <w:br/>
      </w:r>
      <w:r>
        <w:rPr>
          <w:rStyle w:val="VerbatimChar"/>
        </w:rPr>
        <w:t xml:space="preserve">83       SSB CEA, FE    155.85742  4363.4659 1985</w:t>
      </w:r>
      <w:r>
        <w:br/>
      </w:r>
      <w:r>
        <w:rPr>
          <w:rStyle w:val="VerbatimChar"/>
        </w:rPr>
        <w:t xml:space="preserve">84       SSB CEA, FE    152.69610  4284.8762 1986</w:t>
      </w:r>
      <w:r>
        <w:br/>
      </w:r>
      <w:r>
        <w:rPr>
          <w:rStyle w:val="VerbatimChar"/>
        </w:rPr>
        <w:t xml:space="preserve">85       SSB CEA, FE    147.37058  4417.1832 1987</w:t>
      </w:r>
      <w:r>
        <w:br/>
      </w:r>
      <w:r>
        <w:rPr>
          <w:rStyle w:val="VerbatimChar"/>
        </w:rPr>
        <w:t xml:space="preserve">86       SSB CEA, FE    133.56934  4288.8246 1988</w:t>
      </w:r>
      <w:r>
        <w:br/>
      </w:r>
      <w:r>
        <w:rPr>
          <w:rStyle w:val="VerbatimChar"/>
        </w:rPr>
        <w:t xml:space="preserve">87       SSB CEA, FE    120.34325  3822.2585 1989</w:t>
      </w:r>
      <w:r>
        <w:br/>
      </w:r>
      <w:r>
        <w:rPr>
          <w:rStyle w:val="VerbatimChar"/>
        </w:rPr>
        <w:t xml:space="preserve">88       SSB CEA, FE    111.19063  3339.9248 1990</w:t>
      </w:r>
      <w:r>
        <w:br/>
      </w:r>
      <w:r>
        <w:rPr>
          <w:rStyle w:val="VerbatimChar"/>
        </w:rPr>
        <w:t xml:space="preserve">89       SSB CEA, FE    101.34997  2766.0956 1991</w:t>
      </w:r>
      <w:r>
        <w:br/>
      </w:r>
      <w:r>
        <w:rPr>
          <w:rStyle w:val="VerbatimChar"/>
        </w:rPr>
        <w:t xml:space="preserve">90       SSB CEA, FE     88.01350  2555.1920 1992</w:t>
      </w:r>
      <w:r>
        <w:br/>
      </w:r>
      <w:r>
        <w:rPr>
          <w:rStyle w:val="VerbatimChar"/>
        </w:rPr>
        <w:t xml:space="preserve">91       SSB CEA, FE     94.71360  3114.1209 1993</w:t>
      </w:r>
      <w:r>
        <w:br/>
      </w:r>
      <w:r>
        <w:rPr>
          <w:rStyle w:val="VerbatimChar"/>
        </w:rPr>
        <w:t xml:space="preserve">92       SSB CEA, FE    100.80089  3387.5588 1994</w:t>
      </w:r>
      <w:r>
        <w:br/>
      </w:r>
      <w:r>
        <w:rPr>
          <w:rStyle w:val="VerbatimChar"/>
        </w:rPr>
        <w:t xml:space="preserve">93       SSB CEA, FE    100.86929  3380.1055 1995</w:t>
      </w:r>
      <w:r>
        <w:br/>
      </w:r>
      <w:r>
        <w:rPr>
          <w:rStyle w:val="VerbatimChar"/>
        </w:rPr>
        <w:t xml:space="preserve">94       SSB CEA, FE     96.66224  3146.3550 1996</w:t>
      </w:r>
      <w:r>
        <w:br/>
      </w:r>
      <w:r>
        <w:rPr>
          <w:rStyle w:val="VerbatimChar"/>
        </w:rPr>
        <w:t xml:space="preserve">95       SSB CEA, FE     94.37793  2968.3560 1997</w:t>
      </w:r>
      <w:r>
        <w:br/>
      </w:r>
      <w:r>
        <w:rPr>
          <w:rStyle w:val="VerbatimChar"/>
        </w:rPr>
        <w:t xml:space="preserve">96       SSB CEA, FE     81.74393  2535.9808 1998</w:t>
      </w:r>
      <w:r>
        <w:br/>
      </w:r>
      <w:r>
        <w:rPr>
          <w:rStyle w:val="VerbatimChar"/>
        </w:rPr>
        <w:t xml:space="preserve">97       SSB CEA, FE     82.84627  2762.2338 1999</w:t>
      </w:r>
      <w:r>
        <w:br/>
      </w:r>
      <w:r>
        <w:rPr>
          <w:rStyle w:val="VerbatimChar"/>
        </w:rPr>
        <w:t xml:space="preserve">98       SSB CEA, FE     80.04559  2788.5809 2000</w:t>
      </w:r>
      <w:r>
        <w:br/>
      </w:r>
      <w:r>
        <w:rPr>
          <w:rStyle w:val="VerbatimChar"/>
        </w:rPr>
        <w:t xml:space="preserve">99       SSB CEA, FE     84.01575  2954.8660 2001</w:t>
      </w:r>
      <w:r>
        <w:br/>
      </w:r>
      <w:r>
        <w:rPr>
          <w:rStyle w:val="VerbatimChar"/>
        </w:rPr>
        <w:t xml:space="preserve">100      SSB CEA, FE     81.34538  2844.1541 2002</w:t>
      </w:r>
      <w:r>
        <w:br/>
      </w:r>
      <w:r>
        <w:rPr>
          <w:rStyle w:val="VerbatimChar"/>
        </w:rPr>
        <w:t xml:space="preserve">101      SSB CEA, FE     80.65924  2932.4907 2003</w:t>
      </w:r>
      <w:r>
        <w:br/>
      </w:r>
      <w:r>
        <w:rPr>
          <w:rStyle w:val="VerbatimChar"/>
        </w:rPr>
        <w:t xml:space="preserve">102      SSB CEA, FE     86.58040  3245.6868 2004</w:t>
      </w:r>
      <w:r>
        <w:br/>
      </w:r>
      <w:r>
        <w:rPr>
          <w:rStyle w:val="VerbatimChar"/>
        </w:rPr>
        <w:t xml:space="preserve">103      SSB CEA, FE     78.78259  2860.9129 2005</w:t>
      </w:r>
      <w:r>
        <w:br/>
      </w:r>
      <w:r>
        <w:rPr>
          <w:rStyle w:val="VerbatimChar"/>
        </w:rPr>
        <w:t xml:space="preserve">104      SSB CEA, FE     77.17262  2646.0761 2006</w:t>
      </w:r>
      <w:r>
        <w:br/>
      </w:r>
      <w:r>
        <w:rPr>
          <w:rStyle w:val="VerbatimChar"/>
        </w:rPr>
        <w:t xml:space="preserve">105      SSB CEA, FE     72.05430  2231.1689 2007</w:t>
      </w:r>
      <w:r>
        <w:br/>
      </w:r>
      <w:r>
        <w:rPr>
          <w:rStyle w:val="VerbatimChar"/>
        </w:rPr>
        <w:t xml:space="preserve">106      SSB CEA, FE     63.54837  1779.2715 2008</w:t>
      </w:r>
      <w:r>
        <w:br/>
      </w:r>
      <w:r>
        <w:rPr>
          <w:rStyle w:val="VerbatimChar"/>
        </w:rPr>
        <w:t xml:space="preserve">107      SSB CEA, FE     67.05085  1940.4768 2009</w:t>
      </w:r>
      <w:r>
        <w:br/>
      </w:r>
      <w:r>
        <w:rPr>
          <w:rStyle w:val="VerbatimChar"/>
        </w:rPr>
        <w:t xml:space="preserve">108      SSB CEA, FE     67.24250  2005.1880 2010</w:t>
      </w:r>
      <w:r>
        <w:br/>
      </w:r>
      <w:r>
        <w:rPr>
          <w:rStyle w:val="VerbatimChar"/>
        </w:rPr>
        <w:t xml:space="preserve">109      SSB CEA, FE     76.32899  2444.2387 2011</w:t>
      </w:r>
      <w:r>
        <w:br/>
      </w:r>
      <w:r>
        <w:rPr>
          <w:rStyle w:val="VerbatimChar"/>
        </w:rPr>
        <w:t xml:space="preserve">110      SSB CEA, FE     89.42754  2960.5153 2012</w:t>
      </w:r>
      <w:r>
        <w:br/>
      </w:r>
      <w:r>
        <w:rPr>
          <w:rStyle w:val="VerbatimChar"/>
        </w:rPr>
        <w:t xml:space="preserve">111      SSB CEA, FE    103.90316  3384.9907 2013</w:t>
      </w:r>
      <w:r>
        <w:br/>
      </w:r>
      <w:r>
        <w:rPr>
          <w:rStyle w:val="VerbatimChar"/>
        </w:rPr>
        <w:t xml:space="preserve">112      SSB CEA, FE    108.29424  3364.8423 2014</w:t>
      </w:r>
      <w:r>
        <w:br/>
      </w:r>
      <w:r>
        <w:rPr>
          <w:rStyle w:val="VerbatimChar"/>
        </w:rPr>
        <w:t xml:space="preserve">113      SSB CEA, FE     99.67968  3122.6491 2015</w:t>
      </w:r>
      <w:r>
        <w:br/>
      </w:r>
      <w:r>
        <w:rPr>
          <w:rStyle w:val="VerbatimChar"/>
        </w:rPr>
        <w:t xml:space="preserve">114      SSB CEA, FE    101.38400  3319.2674 2016</w:t>
      </w:r>
      <w:r>
        <w:br/>
      </w:r>
      <w:r>
        <w:rPr>
          <w:rStyle w:val="VerbatimChar"/>
        </w:rPr>
        <w:t xml:space="preserve">115      SSB CEA, FE    111.89005  3690.6429 2017</w:t>
      </w:r>
      <w:r>
        <w:br/>
      </w:r>
      <w:r>
        <w:rPr>
          <w:rStyle w:val="VerbatimChar"/>
        </w:rPr>
        <w:t xml:space="preserve">116      SSB CEA, FE    110.72711  3426.9770 2018</w:t>
      </w:r>
      <w:r>
        <w:br/>
      </w:r>
      <w:r>
        <w:rPr>
          <w:rStyle w:val="VerbatimChar"/>
        </w:rPr>
        <w:t xml:space="preserve">117      SSB CEA, FE    114.82409  3255.5603 2019</w:t>
      </w:r>
      <w:r>
        <w:br/>
      </w:r>
      <w:r>
        <w:rPr>
          <w:rStyle w:val="VerbatimChar"/>
        </w:rPr>
        <w:t xml:space="preserve">118      SSB CEA, FE     96.66492  2434.2877 2020</w:t>
      </w:r>
      <w:r>
        <w:br/>
      </w:r>
      <w:r>
        <w:rPr>
          <w:rStyle w:val="VerbatimChar"/>
        </w:rPr>
        <w:t xml:space="preserve">119      SSB CEA, FE     92.21926  2468.2623 2021</w:t>
      </w:r>
      <w:r>
        <w:br/>
      </w:r>
      <w:r>
        <w:rPr>
          <w:rStyle w:val="VerbatimChar"/>
        </w:rPr>
        <w:t xml:space="preserve">120      SSB CEA, FE    122.26997  3248.7539 2022</w:t>
      </w:r>
      <w:r>
        <w:br/>
      </w:r>
      <w:r>
        <w:rPr>
          <w:rStyle w:val="VerbatimChar"/>
        </w:rPr>
        <w:t xml:space="preserve">121      SSB CEA, FE    133.16426  3161.3806 2023</w:t>
      </w:r>
      <w:r>
        <w:br/>
      </w:r>
      <w:r>
        <w:rPr>
          <w:rStyle w:val="VerbatimChar"/>
        </w:rPr>
        <w:t xml:space="preserve">122      SSB CEA, FE    163.67251  3208.3073 2024</w:t>
      </w:r>
      <w:r>
        <w:br/>
      </w:r>
      <w:r>
        <w:rPr>
          <w:rStyle w:val="VerbatimChar"/>
        </w:rPr>
        <w:t xml:space="preserve">123 Recruits CEA, FE   3111.66347  6694.6821 1964</w:t>
      </w:r>
      <w:r>
        <w:br/>
      </w:r>
      <w:r>
        <w:rPr>
          <w:rStyle w:val="VerbatimChar"/>
        </w:rPr>
        <w:t xml:space="preserve">124 Recruits CEA, FE   6188.79694 27055.8182 1965</w:t>
      </w:r>
      <w:r>
        <w:br/>
      </w:r>
      <w:r>
        <w:rPr>
          <w:rStyle w:val="VerbatimChar"/>
        </w:rPr>
        <w:t xml:space="preserve">125 Recruits CEA, FE   5189.02841 16000.6137 1966</w:t>
      </w:r>
      <w:r>
        <w:br/>
      </w:r>
      <w:r>
        <w:rPr>
          <w:rStyle w:val="VerbatimChar"/>
        </w:rPr>
        <w:t xml:space="preserve">126 Recruits CEA, FE   6656.18057 26928.4899 1967</w:t>
      </w:r>
      <w:r>
        <w:br/>
      </w:r>
      <w:r>
        <w:rPr>
          <w:rStyle w:val="VerbatimChar"/>
        </w:rPr>
        <w:t xml:space="preserve">127 Recruits CEA, FE   6390.37696 23195.5687 1968</w:t>
      </w:r>
      <w:r>
        <w:br/>
      </w:r>
      <w:r>
        <w:rPr>
          <w:rStyle w:val="VerbatimChar"/>
        </w:rPr>
        <w:t xml:space="preserve">128 Recruits CEA, FE   6837.07603 27268.9306 1969</w:t>
      </w:r>
      <w:r>
        <w:br/>
      </w:r>
      <w:r>
        <w:rPr>
          <w:rStyle w:val="VerbatimChar"/>
        </w:rPr>
        <w:t xml:space="preserve">129 Recruits CEA, FE   6221.93235 23875.3560 1970</w:t>
      </w:r>
      <w:r>
        <w:br/>
      </w:r>
      <w:r>
        <w:rPr>
          <w:rStyle w:val="VerbatimChar"/>
        </w:rPr>
        <w:t xml:space="preserve">130 Recruits CEA, FE   4623.87084 14017.0964 1971</w:t>
      </w:r>
      <w:r>
        <w:br/>
      </w:r>
      <w:r>
        <w:rPr>
          <w:rStyle w:val="VerbatimChar"/>
        </w:rPr>
        <w:t xml:space="preserve">131 Recruits CEA, FE   3553.84684 10203.9050 1972</w:t>
      </w:r>
      <w:r>
        <w:br/>
      </w:r>
      <w:r>
        <w:rPr>
          <w:rStyle w:val="VerbatimChar"/>
        </w:rPr>
        <w:t xml:space="preserve">132 Recruits CEA, FE   4131.74442 21850.2979 1973</w:t>
      </w:r>
      <w:r>
        <w:br/>
      </w:r>
      <w:r>
        <w:rPr>
          <w:rStyle w:val="VerbatimChar"/>
        </w:rPr>
        <w:t xml:space="preserve">133 Recruits CEA, FE   2891.72832 14740.7878 1974</w:t>
      </w:r>
      <w:r>
        <w:br/>
      </w:r>
      <w:r>
        <w:rPr>
          <w:rStyle w:val="VerbatimChar"/>
        </w:rPr>
        <w:t xml:space="preserve">134 Recruits CEA, FE   2345.39781 13819.8700 1975</w:t>
      </w:r>
      <w:r>
        <w:br/>
      </w:r>
      <w:r>
        <w:rPr>
          <w:rStyle w:val="VerbatimChar"/>
        </w:rPr>
        <w:t xml:space="preserve">135 Recruits CEA, FE   2014.66085 12742.5522 1976</w:t>
      </w:r>
      <w:r>
        <w:br/>
      </w:r>
      <w:r>
        <w:rPr>
          <w:rStyle w:val="VerbatimChar"/>
        </w:rPr>
        <w:t xml:space="preserve">136 Recruits CEA, FE   1933.47535 14153.7468 1977</w:t>
      </w:r>
      <w:r>
        <w:br/>
      </w:r>
      <w:r>
        <w:rPr>
          <w:rStyle w:val="VerbatimChar"/>
        </w:rPr>
        <w:t xml:space="preserve">137 Recruits CEA, FE   2269.58880 25413.7786 1978</w:t>
      </w:r>
      <w:r>
        <w:br/>
      </w:r>
      <w:r>
        <w:rPr>
          <w:rStyle w:val="VerbatimChar"/>
        </w:rPr>
        <w:t xml:space="preserve">138 Recruits CEA, FE   3240.49173 61631.5070 1979</w:t>
      </w:r>
      <w:r>
        <w:br/>
      </w:r>
      <w:r>
        <w:rPr>
          <w:rStyle w:val="VerbatimChar"/>
        </w:rPr>
        <w:t xml:space="preserve">139 Recruits CEA, FE   2294.81720 30340.7577 1980</w:t>
      </w:r>
      <w:r>
        <w:br/>
      </w:r>
      <w:r>
        <w:rPr>
          <w:rStyle w:val="VerbatimChar"/>
        </w:rPr>
        <w:t xml:space="preserve">140 Recruits CEA, FE   2501.79434 36111.8063 1981</w:t>
      </w:r>
      <w:r>
        <w:br/>
      </w:r>
      <w:r>
        <w:rPr>
          <w:rStyle w:val="VerbatimChar"/>
        </w:rPr>
        <w:t xml:space="preserve">141 Recruits CEA, FE   1793.35744 18429.3440 1982</w:t>
      </w:r>
      <w:r>
        <w:br/>
      </w:r>
      <w:r>
        <w:rPr>
          <w:rStyle w:val="VerbatimChar"/>
        </w:rPr>
        <w:t xml:space="preserve">142 Recruits CEA, FE   3015.25402 54972.2840 1983</w:t>
      </w:r>
      <w:r>
        <w:br/>
      </w:r>
      <w:r>
        <w:rPr>
          <w:rStyle w:val="VerbatimChar"/>
        </w:rPr>
        <w:t xml:space="preserve">143 Recruits CEA, FE   1600.61054 16107.1135 1984</w:t>
      </w:r>
      <w:r>
        <w:br/>
      </w:r>
      <w:r>
        <w:rPr>
          <w:rStyle w:val="VerbatimChar"/>
        </w:rPr>
        <w:t xml:space="preserve">144 Recruits CEA, FE   2296.13318 40008.8483 1985</w:t>
      </w:r>
      <w:r>
        <w:br/>
      </w:r>
      <w:r>
        <w:rPr>
          <w:rStyle w:val="VerbatimChar"/>
        </w:rPr>
        <w:t xml:space="preserve">145 Recruits CEA, FE   1305.08445 15074.7616 1986</w:t>
      </w:r>
      <w:r>
        <w:br/>
      </w:r>
      <w:r>
        <w:rPr>
          <w:rStyle w:val="VerbatimChar"/>
        </w:rPr>
        <w:t xml:space="preserve">146 Recruits CEA, FE    853.80918  8559.7067 1987</w:t>
      </w:r>
      <w:r>
        <w:br/>
      </w:r>
      <w:r>
        <w:rPr>
          <w:rStyle w:val="VerbatimChar"/>
        </w:rPr>
        <w:t xml:space="preserve">147 Recruits CEA, FE    671.56176  6674.0336 1988</w:t>
      </w:r>
      <w:r>
        <w:br/>
      </w:r>
      <w:r>
        <w:rPr>
          <w:rStyle w:val="VerbatimChar"/>
        </w:rPr>
        <w:t xml:space="preserve">148 Recruits CEA, FE    866.97932 12380.1168 1989</w:t>
      </w:r>
      <w:r>
        <w:br/>
      </w:r>
      <w:r>
        <w:rPr>
          <w:rStyle w:val="VerbatimChar"/>
        </w:rPr>
        <w:t xml:space="preserve">149 Recruits CEA, FE   1626.03031 49835.3664 1990</w:t>
      </w:r>
      <w:r>
        <w:br/>
      </w:r>
      <w:r>
        <w:rPr>
          <w:rStyle w:val="VerbatimChar"/>
        </w:rPr>
        <w:t xml:space="preserve">150 Recruits CEA, FE   1106.57871 24019.0193 1991</w:t>
      </w:r>
      <w:r>
        <w:br/>
      </w:r>
      <w:r>
        <w:rPr>
          <w:rStyle w:val="VerbatimChar"/>
        </w:rPr>
        <w:t xml:space="preserve">151 Recruits CEA, FE    976.31035 19027.8505 1992</w:t>
      </w:r>
      <w:r>
        <w:br/>
      </w:r>
      <w:r>
        <w:rPr>
          <w:rStyle w:val="VerbatimChar"/>
        </w:rPr>
        <w:t xml:space="preserve">152 Recruits CEA, FE   1477.46135 39486.7150 1993</w:t>
      </w:r>
      <w:r>
        <w:br/>
      </w:r>
      <w:r>
        <w:rPr>
          <w:rStyle w:val="VerbatimChar"/>
        </w:rPr>
        <w:t xml:space="preserve">153 Recruits CEA, FE    834.55396 14520.0837 1994</w:t>
      </w:r>
      <w:r>
        <w:br/>
      </w:r>
      <w:r>
        <w:rPr>
          <w:rStyle w:val="VerbatimChar"/>
        </w:rPr>
        <w:t xml:space="preserve">154 Recruits CEA, FE    710.98814 11061.9600 1995</w:t>
      </w:r>
      <w:r>
        <w:br/>
      </w:r>
      <w:r>
        <w:rPr>
          <w:rStyle w:val="VerbatimChar"/>
        </w:rPr>
        <w:t xml:space="preserve">155 Recruits CEA, FE   1035.77701 23565.6881 1996</w:t>
      </w:r>
      <w:r>
        <w:br/>
      </w:r>
      <w:r>
        <w:rPr>
          <w:rStyle w:val="VerbatimChar"/>
        </w:rPr>
        <w:t xml:space="preserve">156 Recruits CEA, FE   1224.52357 33309.8411 1997</w:t>
      </w:r>
      <w:r>
        <w:br/>
      </w:r>
      <w:r>
        <w:rPr>
          <w:rStyle w:val="VerbatimChar"/>
        </w:rPr>
        <w:t xml:space="preserve">157 Recruits CEA, FE    824.11162 16331.7217 1998</w:t>
      </w:r>
      <w:r>
        <w:br/>
      </w:r>
      <w:r>
        <w:rPr>
          <w:rStyle w:val="VerbatimChar"/>
        </w:rPr>
        <w:t xml:space="preserve">158 Recruits CEA, FE    841.03967 17633.9557 1999</w:t>
      </w:r>
      <w:r>
        <w:br/>
      </w:r>
      <w:r>
        <w:rPr>
          <w:rStyle w:val="VerbatimChar"/>
        </w:rPr>
        <w:t xml:space="preserve">159 Recruits CEA, FE   1005.41332 25969.7543 2000</w:t>
      </w:r>
      <w:r>
        <w:br/>
      </w:r>
      <w:r>
        <w:rPr>
          <w:rStyle w:val="VerbatimChar"/>
        </w:rPr>
        <w:t xml:space="preserve">160 Recruits CEA, FE   1133.77260 35364.9076 2001</w:t>
      </w:r>
      <w:r>
        <w:br/>
      </w:r>
      <w:r>
        <w:rPr>
          <w:rStyle w:val="VerbatimChar"/>
        </w:rPr>
        <w:t xml:space="preserve">161 Recruits CEA, FE    869.70466 23649.8979 2002</w:t>
      </w:r>
      <w:r>
        <w:br/>
      </w:r>
      <w:r>
        <w:rPr>
          <w:rStyle w:val="VerbatimChar"/>
        </w:rPr>
        <w:t xml:space="preserve">162 Recruits CEA, FE    661.98546 15523.5766 2003</w:t>
      </w:r>
      <w:r>
        <w:br/>
      </w:r>
      <w:r>
        <w:rPr>
          <w:rStyle w:val="VerbatimChar"/>
        </w:rPr>
        <w:t xml:space="preserve">163 Recruits CEA, FE    418.22239  7097.6097 2004</w:t>
      </w:r>
      <w:r>
        <w:br/>
      </w:r>
      <w:r>
        <w:rPr>
          <w:rStyle w:val="VerbatimChar"/>
        </w:rPr>
        <w:t xml:space="preserve">164 Recruits CEA, FE    359.40357  5185.5070 2005</w:t>
      </w:r>
      <w:r>
        <w:br/>
      </w:r>
      <w:r>
        <w:rPr>
          <w:rStyle w:val="VerbatimChar"/>
        </w:rPr>
        <w:t xml:space="preserve">165 Recruits CEA, FE    629.09387 13055.5610 2006</w:t>
      </w:r>
      <w:r>
        <w:br/>
      </w:r>
      <w:r>
        <w:rPr>
          <w:rStyle w:val="VerbatimChar"/>
        </w:rPr>
        <w:t xml:space="preserve">166 Recruits CEA, FE   1098.51578 29384.2252 2007</w:t>
      </w:r>
      <w:r>
        <w:br/>
      </w:r>
      <w:r>
        <w:rPr>
          <w:rStyle w:val="VerbatimChar"/>
        </w:rPr>
        <w:t xml:space="preserve">167 Recruits CEA, FE    750.16343 13836.9683 2008</w:t>
      </w:r>
      <w:r>
        <w:br/>
      </w:r>
      <w:r>
        <w:rPr>
          <w:rStyle w:val="VerbatimChar"/>
        </w:rPr>
        <w:t xml:space="preserve">168 Recruits CEA, FE   1823.59914 55238.2687 2009</w:t>
      </w:r>
      <w:r>
        <w:br/>
      </w:r>
      <w:r>
        <w:rPr>
          <w:rStyle w:val="VerbatimChar"/>
        </w:rPr>
        <w:t xml:space="preserve">169 Recruits CEA, FE   1158.77034 25804.3838 2010</w:t>
      </w:r>
      <w:r>
        <w:br/>
      </w:r>
      <w:r>
        <w:rPr>
          <w:rStyle w:val="VerbatimChar"/>
        </w:rPr>
        <w:t xml:space="preserve">170 Recruits CEA, FE    860.66650 15731.1723 2011</w:t>
      </w:r>
      <w:r>
        <w:br/>
      </w:r>
      <w:r>
        <w:rPr>
          <w:rStyle w:val="VerbatimChar"/>
        </w:rPr>
        <w:t xml:space="preserve">171 Recruits CEA, FE    721.43589 12880.5225 2012</w:t>
      </w:r>
      <w:r>
        <w:br/>
      </w:r>
      <w:r>
        <w:rPr>
          <w:rStyle w:val="VerbatimChar"/>
        </w:rPr>
        <w:t xml:space="preserve">172 Recruits CEA, FE   1477.07553 46372.1722 2013</w:t>
      </w:r>
      <w:r>
        <w:br/>
      </w:r>
      <w:r>
        <w:rPr>
          <w:rStyle w:val="VerbatimChar"/>
        </w:rPr>
        <w:t xml:space="preserve">173 Recruits CEA, FE   1597.04792 49874.1413 2014</w:t>
      </w:r>
      <w:r>
        <w:br/>
      </w:r>
      <w:r>
        <w:rPr>
          <w:rStyle w:val="VerbatimChar"/>
        </w:rPr>
        <w:t xml:space="preserve">174 Recruits CEA, FE    985.79624 20194.7800 2015</w:t>
      </w:r>
      <w:r>
        <w:br/>
      </w:r>
      <w:r>
        <w:rPr>
          <w:rStyle w:val="VerbatimChar"/>
        </w:rPr>
        <w:t xml:space="preserve">175 Recruits CEA, FE    562.01442  7100.5741 2016</w:t>
      </w:r>
      <w:r>
        <w:br/>
      </w:r>
      <w:r>
        <w:rPr>
          <w:rStyle w:val="VerbatimChar"/>
        </w:rPr>
        <w:t xml:space="preserve">176 Recruits CEA, FE    591.25944  6864.9109 2017</w:t>
      </w:r>
      <w:r>
        <w:br/>
      </w:r>
      <w:r>
        <w:rPr>
          <w:rStyle w:val="VerbatimChar"/>
        </w:rPr>
        <w:t xml:space="preserve">177 Recruits CEA, FE    925.68818 12837.3220 2018</w:t>
      </w:r>
      <w:r>
        <w:br/>
      </w:r>
      <w:r>
        <w:rPr>
          <w:rStyle w:val="VerbatimChar"/>
        </w:rPr>
        <w:t xml:space="preserve">178 Recruits CEA, FE   3215.10320 74603.0707 2019</w:t>
      </w:r>
      <w:r>
        <w:br/>
      </w:r>
      <w:r>
        <w:rPr>
          <w:rStyle w:val="VerbatimChar"/>
        </w:rPr>
        <w:t xml:space="preserve">179 Recruits CEA, FE   1853.93433 20275.1711 2020</w:t>
      </w:r>
      <w:r>
        <w:br/>
      </w:r>
      <w:r>
        <w:rPr>
          <w:rStyle w:val="VerbatimChar"/>
        </w:rPr>
        <w:t xml:space="preserve">180 Recruits CEA, FE   1849.65860 13255.9447 2021</w:t>
      </w:r>
      <w:r>
        <w:br/>
      </w:r>
      <w:r>
        <w:rPr>
          <w:rStyle w:val="VerbatimChar"/>
        </w:rPr>
        <w:t xml:space="preserve">181 Recruits CEA, FE   2066.01367 10978.7076 2022</w:t>
      </w:r>
      <w:r>
        <w:br/>
      </w:r>
      <w:r>
        <w:rPr>
          <w:rStyle w:val="VerbatimChar"/>
        </w:rPr>
        <w:t xml:space="preserve">182 Recruits CEA, FE   3576.00025 16263.4065 2023</w:t>
      </w:r>
      <w:r>
        <w:br/>
      </w:r>
      <w:r>
        <w:rPr>
          <w:rStyle w:val="VerbatimChar"/>
        </w:rPr>
        <w:t xml:space="preserve">183 Recruits CEA, FE  14510.48069 51371.3228 2024</w:t>
      </w:r>
    </w:p>
    <w:tbl>
      <w:tblPr>
        <w:tblStyle w:val="Table"/>
        <w:tblW w:type="pct" w:w="5000"/>
        <w:tblLayout w:type="fixed"/>
        <w:tblLook w:firstRow="0" w:lastRow="0" w:firstColumn="0" w:lastColumn="0" w:noHBand="0" w:noVBand="0" w:val="0000"/>
      </w:tblPr>
      <w:tblGrid>
        <w:gridCol w:w="7920"/>
      </w:tblGrid>
      <w:tr>
        <w:tc>
          <w:tcPr/>
          <w:bookmarkStart w:id="150" w:name="fig-samts-1"/>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amts-2"/>
          <w:p>
            <w:pPr>
              <w:pStyle w:val="Compact"/>
              <w:jc w:val="center"/>
            </w:pPr>
            <w:r>
              <w:drawing>
                <wp:inline>
                  <wp:extent cx="5334000" cy="4267200"/>
                  <wp:effectExtent b="0" l="0" r="0" t="0"/>
                  <wp:docPr descr="" title="" id="152" name="Picture"/>
                  <a:graphic>
                    <a:graphicData uri="http://schemas.openxmlformats.org/drawingml/2006/picture">
                      <pic:pic>
                        <pic:nvPicPr>
                          <pic:cNvPr descr="CIE_files/figure-docx/fig-samts-2.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amts-3"/>
          <w:p>
            <w:pPr>
              <w:pStyle w:val="Compact"/>
              <w:jc w:val="center"/>
            </w:pPr>
            <w:r>
              <w:drawing>
                <wp:inline>
                  <wp:extent cx="5334000" cy="4267200"/>
                  <wp:effectExtent b="0" l="0" r="0" t="0"/>
                  <wp:docPr descr="" title="" id="156" name="Picture"/>
                  <a:graphic>
                    <a:graphicData uri="http://schemas.openxmlformats.org/drawingml/2006/picture">
                      <pic:pic>
                        <pic:nvPicPr>
                          <pic:cNvPr descr="CIE_files/figure-docx/fig-samts-3.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samts-4"/>
          <w:p>
            <w:pPr>
              <w:pStyle w:val="Compact"/>
              <w:jc w:val="center"/>
            </w:pPr>
            <w:r>
              <w:drawing>
                <wp:inline>
                  <wp:extent cx="5334000" cy="4267200"/>
                  <wp:effectExtent b="0" l="0" r="0" t="0"/>
                  <wp:docPr descr="" title="" id="160" name="Picture"/>
                  <a:graphic>
                    <a:graphicData uri="http://schemas.openxmlformats.org/drawingml/2006/picture">
                      <pic:pic>
                        <pic:nvPicPr>
                          <pic:cNvPr descr="CIE_files/figure-docx/fig-samts-4.png" id="161" name="Picture"/>
                          <pic:cNvPicPr>
                            <a:picLocks noChangeArrowheads="1" noChangeAspect="1"/>
                          </pic:cNvPicPr>
                        </pic:nvPicPr>
                        <pic:blipFill>
                          <a:blip r:embed="rId1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samts-5"/>
          <w:p>
            <w:pPr>
              <w:pStyle w:val="Compact"/>
              <w:jc w:val="center"/>
            </w:pPr>
            <w:r>
              <w:drawing>
                <wp:inline>
                  <wp:extent cx="5334000" cy="4267200"/>
                  <wp:effectExtent b="0" l="0" r="0" t="0"/>
                  <wp:docPr descr="" title="" id="164" name="Picture"/>
                  <a:graphic>
                    <a:graphicData uri="http://schemas.openxmlformats.org/drawingml/2006/picture">
                      <pic:pic>
                        <pic:nvPicPr>
                          <pic:cNvPr descr="CIE_files/figure-docx/fig-samts-5.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6"/>
        </w:tc>
      </w:tr>
    </w:tbl>
    <w:bookmarkEnd w:id="167"/>
    <w:bookmarkStart w:id="181"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68">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2" w:name="fig-all"/>
          <w:p>
            <w:pPr>
              <w:pStyle w:val="Compact"/>
              <w:jc w:val="center"/>
            </w:pPr>
            <w:r>
              <w:drawing>
                <wp:inline>
                  <wp:extent cx="5334000" cy="4267200"/>
                  <wp:effectExtent b="0" l="0" r="0" t="0"/>
                  <wp:docPr descr="" title="" id="170" name="Picture"/>
                  <a:graphic>
                    <a:graphicData uri="http://schemas.openxmlformats.org/drawingml/2006/picture">
                      <pic:pic>
                        <pic:nvPicPr>
                          <pic:cNvPr descr="CIE_files/figure-docx/fig-all-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all_ts-1"/>
          <w:p>
            <w:pPr>
              <w:pStyle w:val="Compact"/>
              <w:jc w:val="center"/>
            </w:pPr>
            <w:r>
              <w:drawing>
                <wp:inline>
                  <wp:extent cx="5334000" cy="4267200"/>
                  <wp:effectExtent b="0" l="0" r="0" t="0"/>
                  <wp:docPr descr="" title="" id="174" name="Picture"/>
                  <a:graphic>
                    <a:graphicData uri="http://schemas.openxmlformats.org/drawingml/2006/picture">
                      <pic:pic>
                        <pic:nvPicPr>
                          <pic:cNvPr descr="CIE_files/figure-docx/fig-all_ts-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all_ts-2"/>
          <w:p>
            <w:pPr>
              <w:pStyle w:val="Compact"/>
              <w:jc w:val="center"/>
            </w:pPr>
            <w:r>
              <w:drawing>
                <wp:inline>
                  <wp:extent cx="5334000" cy="4267200"/>
                  <wp:effectExtent b="0" l="0" r="0" t="0"/>
                  <wp:docPr descr="" title="" id="178" name="Picture"/>
                  <a:graphic>
                    <a:graphicData uri="http://schemas.openxmlformats.org/drawingml/2006/picture">
                      <pic:pic>
                        <pic:nvPicPr>
                          <pic:cNvPr descr="CIE_files/figure-docx/fig-all_ts-2.png" id="179" name="Picture"/>
                          <pic:cNvPicPr>
                            <a:picLocks noChangeArrowheads="1" noChangeAspect="1"/>
                          </pic:cNvPicPr>
                        </pic:nvPicPr>
                        <pic:blipFill>
                          <a:blip r:embed="rId1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0"/>
        </w:tc>
      </w:tr>
    </w:tbl>
    <w:bookmarkEnd w:id="181"/>
    <w:bookmarkStart w:id="194"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36</w:t>
        </w:r>
      </w:hyperlink>
      <w:r>
        <w:t xml:space="preserve"> </w:t>
      </w:r>
      <w:r>
        <w:t xml:space="preserve">shows the model results comparing time-varying selectivity whereas</w:t>
      </w:r>
      <w:r>
        <w:t xml:space="preserve"> </w:t>
      </w:r>
      <w:hyperlink w:anchor="fig-spock_ts-1">
        <w:r>
          <w:rPr>
            <w:rStyle w:val="Hyperlink"/>
          </w:rPr>
          <w:t xml:space="preserve">Figure 37</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38</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5" w:name="fig-spock_sel"/>
          <w:p>
            <w:pPr>
              <w:pStyle w:val="Compact"/>
              <w:jc w:val="center"/>
            </w:pPr>
            <w:r>
              <w:drawing>
                <wp:inline>
                  <wp:extent cx="5334000" cy="4267200"/>
                  <wp:effectExtent b="0" l="0" r="0" t="0"/>
                  <wp:docPr descr="" title="" id="183" name="Picture"/>
                  <a:graphic>
                    <a:graphicData uri="http://schemas.openxmlformats.org/drawingml/2006/picture">
                      <pic:pic>
                        <pic:nvPicPr>
                          <pic:cNvPr descr="CIE_files/figure-docx/fig-spock_sel-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5"/>
        </w:tc>
      </w:tr>
    </w:tbl>
    <w:tbl>
      <w:tblPr>
        <w:tblStyle w:val="Table"/>
        <w:tblW w:type="pct" w:w="5000"/>
        <w:tblLayout w:type="fixed"/>
        <w:tblLook w:firstRow="0" w:lastRow="0" w:firstColumn="0" w:lastColumn="0" w:noHBand="0" w:noVBand="0" w:val="0000"/>
      </w:tblPr>
      <w:tblGrid>
        <w:gridCol w:w="7920"/>
      </w:tblGrid>
      <w:tr>
        <w:tc>
          <w:tcPr/>
          <w:bookmarkStart w:id="189" w:name="fig-spock_ts-1"/>
          <w:p>
            <w:pPr>
              <w:pStyle w:val="Compact"/>
              <w:jc w:val="center"/>
            </w:pPr>
            <w:r>
              <w:drawing>
                <wp:inline>
                  <wp:extent cx="5334000" cy="2667000"/>
                  <wp:effectExtent b="0" l="0" r="0" t="0"/>
                  <wp:docPr descr="" title="" id="187" name="Picture"/>
                  <a:graphic>
                    <a:graphicData uri="http://schemas.openxmlformats.org/drawingml/2006/picture">
                      <pic:pic>
                        <pic:nvPicPr>
                          <pic:cNvPr descr="CIE_files/figure-docx/fig-spock_ts-1.png" id="188" name="Picture"/>
                          <pic:cNvPicPr>
                            <a:picLocks noChangeArrowheads="1" noChangeAspect="1"/>
                          </pic:cNvPicPr>
                        </pic:nvPicPr>
                        <pic:blipFill>
                          <a:blip r:embed="rId1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89"/>
        </w:tc>
      </w:tr>
    </w:tbl>
    <w:tbl>
      <w:tblPr>
        <w:tblStyle w:val="Table"/>
        <w:tblW w:type="pct" w:w="5000"/>
        <w:tblLayout w:type="fixed"/>
        <w:tblLook w:firstRow="0" w:lastRow="0" w:firstColumn="0" w:lastColumn="0" w:noHBand="0" w:noVBand="0" w:val="0000"/>
      </w:tblPr>
      <w:tblGrid>
        <w:gridCol w:w="7920"/>
      </w:tblGrid>
      <w:tr>
        <w:tc>
          <w:tcPr/>
          <w:bookmarkStart w:id="193" w:name="fig-spock_ts-2"/>
          <w:p>
            <w:pPr>
              <w:pStyle w:val="Compact"/>
              <w:jc w:val="center"/>
            </w:pPr>
            <w:r>
              <w:drawing>
                <wp:inline>
                  <wp:extent cx="5334000" cy="2667000"/>
                  <wp:effectExtent b="0" l="0" r="0" t="0"/>
                  <wp:docPr descr="" title="" id="191" name="Picture"/>
                  <a:graphic>
                    <a:graphicData uri="http://schemas.openxmlformats.org/drawingml/2006/picture">
                      <pic:pic>
                        <pic:nvPicPr>
                          <pic:cNvPr descr="CIE_files/figure-docx/fig-spock_ts-2.png" id="192" name="Picture"/>
                          <pic:cNvPicPr>
                            <a:picLocks noChangeArrowheads="1" noChangeAspect="1"/>
                          </pic:cNvPicPr>
                        </pic:nvPicPr>
                        <pic:blipFill>
                          <a:blip r:embed="rId1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3"/>
        </w:tc>
      </w:tr>
    </w:tbl>
    <w:bookmarkEnd w:id="194"/>
    <w:bookmarkEnd w:id="195"/>
    <w:bookmarkStart w:id="206" w:name="X2ca98e5c32d63d527c2188348bd8baaabbd45e2"/>
    <w:p>
      <w:pPr>
        <w:pStyle w:val="Heading1"/>
      </w:pPr>
      <w:r>
        <w:t xml:space="preserve">Bottom-trawl survey spatial distribution modeling</w:t>
      </w:r>
    </w:p>
    <w:bookmarkStart w:id="200"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9" w:name="fig-sdm_index"/>
          <w:p>
            <w:pPr>
              <w:pStyle w:val="Compact"/>
              <w:jc w:val="center"/>
            </w:pPr>
            <w:r>
              <w:drawing>
                <wp:inline>
                  <wp:extent cx="5334000" cy="3578794"/>
                  <wp:effectExtent b="0" l="0" r="0" t="0"/>
                  <wp:docPr descr="" title="" id="197" name="Picture"/>
                  <a:graphic>
                    <a:graphicData uri="http://schemas.openxmlformats.org/drawingml/2006/picture">
                      <pic:pic>
                        <pic:nvPicPr>
                          <pic:cNvPr descr="figs/Vast_index_updated.png" id="198" name="Picture"/>
                          <pic:cNvPicPr>
                            <a:picLocks noChangeArrowheads="1" noChangeAspect="1"/>
                          </pic:cNvPicPr>
                        </pic:nvPicPr>
                        <pic:blipFill>
                          <a:blip r:embed="rId196"/>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revised sdmTMB model.</w:t>
            </w:r>
          </w:p>
          <w:bookmarkEnd w:id="199"/>
        </w:tc>
      </w:tr>
    </w:tbl>
    <w:bookmarkEnd w:id="200"/>
    <w:bookmarkStart w:id="205"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40</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04" w:name="fig-sdm_age"/>
          <w:p>
            <w:pPr>
              <w:pStyle w:val="Compact"/>
              <w:jc w:val="center"/>
            </w:pPr>
            <w:r>
              <w:drawing>
                <wp:inline>
                  <wp:extent cx="5334000" cy="4798793"/>
                  <wp:effectExtent b="0" l="0" r="0" t="0"/>
                  <wp:docPr descr="" title="" id="202" name="Picture"/>
                  <a:graphic>
                    <a:graphicData uri="http://schemas.openxmlformats.org/drawingml/2006/picture">
                      <pic:pic>
                        <pic:nvPicPr>
                          <pic:cNvPr descr="figs/VAST_Age_Compare.png" id="203" name="Picture"/>
                          <pic:cNvPicPr>
                            <a:picLocks noChangeArrowheads="1" noChangeAspect="1"/>
                          </pic:cNvPicPr>
                        </pic:nvPicPr>
                        <pic:blipFill>
                          <a:blip r:embed="rId201"/>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4"/>
        </w:tc>
      </w:tr>
    </w:tbl>
    <w:bookmarkEnd w:id="205"/>
    <w:bookmarkEnd w:id="206"/>
    <w:bookmarkStart w:id="216" w:name="pollock-model-fishery-selectivity-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0" w:name="initial-setup"/>
    <w:p>
      <w:pPr>
        <w:pStyle w:val="Heading2"/>
      </w:pPr>
      <w:r>
        <w:t xml:space="preserve">Initial Setup</w:t>
      </w:r>
    </w:p>
    <w:bookmarkStart w:id="207"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07"/>
    <w:bookmarkStart w:id="208"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08"/>
    <w:bookmarkStart w:id="209"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09"/>
    <w:bookmarkEnd w:id="210"/>
    <w:bookmarkStart w:id="213" w:name="time-varying-component"/>
    <w:p>
      <w:pPr>
        <w:pStyle w:val="Heading2"/>
      </w:pPr>
      <w:r>
        <w:t xml:space="preserve">Time-Varying Component</w:t>
      </w:r>
    </w:p>
    <w:bookmarkStart w:id="211"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1"/>
    <w:bookmarkStart w:id="212"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2"/>
    <w:bookmarkEnd w:id="213"/>
    <w:bookmarkStart w:id="214" w:name="constraints-and-properties"/>
    <w:p>
      <w:pPr>
        <w:pStyle w:val="Heading2"/>
      </w:pPr>
      <w:r>
        <w:t xml:space="preserve">Constraints and Properties</w:t>
      </w:r>
    </w:p>
    <w:p>
      <w:pPr>
        <w:numPr>
          <w:ilvl w:val="0"/>
          <w:numId w:val="1002"/>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2"/>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2"/>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2"/>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14"/>
    <w:bookmarkStart w:id="215" w:name="implementation-notes"/>
    <w:p>
      <w:pPr>
        <w:pStyle w:val="Heading2"/>
      </w:pPr>
      <w:r>
        <w:t xml:space="preserve">Implementation Notes</w:t>
      </w:r>
    </w:p>
    <w:p>
      <w:pPr>
        <w:pStyle w:val="Compact"/>
        <w:numPr>
          <w:ilvl w:val="0"/>
          <w:numId w:val="1003"/>
        </w:numPr>
      </w:pPr>
      <w:r>
        <w:t xml:space="preserve">Base coefficients</w:t>
      </w:r>
      <w:r>
        <w:t xml:space="preserve"> </w:t>
      </w:r>
      <m:oMath>
        <m:r>
          <m:rPr>
            <m:sty m:val="b"/>
          </m:rPr>
          <m:t>c</m:t>
        </m:r>
      </m:oMath>
      <w:r>
        <w:t xml:space="preserve"> </w:t>
      </w:r>
      <w:r>
        <w:t xml:space="preserve">are estimated parameters</w:t>
      </w:r>
    </w:p>
    <w:p>
      <w:pPr>
        <w:pStyle w:val="Compact"/>
        <w:numPr>
          <w:ilvl w:val="0"/>
          <w:numId w:val="1003"/>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3"/>
        </w:numPr>
      </w:pPr>
      <w:r>
        <w:t xml:space="preserve">The plateau assumption prevents unrealistic selectivity patterns for older ages</w:t>
      </w:r>
    </w:p>
    <w:p>
      <w:pPr>
        <w:pStyle w:val="Compact"/>
        <w:numPr>
          <w:ilvl w:val="0"/>
          <w:numId w:val="1003"/>
        </w:numPr>
      </w:pPr>
      <w:r>
        <w:t xml:space="preserve">Geometric mean normalization maintains interpretability relative to fishing mortality</w:t>
      </w:r>
    </w:p>
    <w:bookmarkEnd w:id="215"/>
    <w:bookmarkEnd w:id="216"/>
    <w:bookmarkStart w:id="217" w:name="regularization-and-penalty-terms"/>
    <w:p>
      <w:pPr>
        <w:pStyle w:val="Heading1"/>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17"/>
    <w:bookmarkStart w:id="262" w:name="references"/>
    <w:p>
      <w:pPr>
        <w:pStyle w:val="Heading1"/>
      </w:pPr>
      <w:r>
        <w:t xml:space="preserve">References</w:t>
      </w:r>
    </w:p>
    <w:bookmarkStart w:id="261" w:name="refs"/>
    <w:bookmarkStart w:id="219"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18">
        <w:r>
          <w:rPr>
            <w:rStyle w:val="Hyperlink"/>
          </w:rPr>
          <w:t xml:space="preserve">https://doi.org/10.1016/j.fishres.2022.106303</w:t>
        </w:r>
      </w:hyperlink>
      <w:r>
        <w:t xml:space="preserve">.</w:t>
      </w:r>
    </w:p>
    <w:bookmarkEnd w:id="219"/>
    <w:bookmarkStart w:id="221"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0">
        <w:r>
          <w:rPr>
            <w:rStyle w:val="Hyperlink"/>
          </w:rPr>
          <w:t xml:space="preserve">https://doi.org/10.1101/2022.03.24.485545</w:t>
        </w:r>
      </w:hyperlink>
      <w:r>
        <w:t xml:space="preserve">.</w:t>
      </w:r>
    </w:p>
    <w:bookmarkEnd w:id="221"/>
    <w:bookmarkStart w:id="222"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2"/>
    <w:bookmarkStart w:id="22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23"/>
    <w:bookmarkStart w:id="22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24">
        <w:r>
          <w:rPr>
            <w:rStyle w:val="Hyperlink"/>
          </w:rPr>
          <w:t xml:space="preserve">https://doi.org/10.1111/faf.12891</w:t>
        </w:r>
      </w:hyperlink>
      <w:r>
        <w:t xml:space="preserve">.</w:t>
      </w:r>
    </w:p>
    <w:bookmarkEnd w:id="225"/>
    <w:bookmarkStart w:id="22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26">
        <w:r>
          <w:rPr>
            <w:rStyle w:val="Hyperlink"/>
          </w:rPr>
          <w:t xml:space="preserve">https://doi.org/10.1080/10618600.1996.10474708</w:t>
        </w:r>
      </w:hyperlink>
      <w:r>
        <w:t xml:space="preserve">.</w:t>
      </w:r>
    </w:p>
    <w:bookmarkEnd w:id="227"/>
    <w:bookmarkStart w:id="22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28"/>
    <w:bookmarkStart w:id="23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29">
        <w:r>
          <w:rPr>
            <w:rStyle w:val="Hyperlink"/>
          </w:rPr>
          <w:t xml:space="preserve">http://florianhartig.github.io/DHARMa/</w:t>
        </w:r>
      </w:hyperlink>
      <w:r>
        <w:t xml:space="preserve">.</w:t>
      </w:r>
    </w:p>
    <w:bookmarkEnd w:id="230"/>
    <w:bookmarkStart w:id="23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1">
        <w:r>
          <w:rPr>
            <w:rStyle w:val="Hyperlink"/>
          </w:rPr>
          <w:t xml:space="preserve">https://doi.org/10.1139/cjfas-2018-0112</w:t>
        </w:r>
      </w:hyperlink>
      <w:r>
        <w:t xml:space="preserve">.</w:t>
      </w:r>
    </w:p>
    <w:bookmarkEnd w:id="232"/>
    <w:bookmarkStart w:id="23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33">
        <w:r>
          <w:rPr>
            <w:rStyle w:val="Hyperlink"/>
          </w:rPr>
          <w:t xml:space="preserve">https://www.npfmc.org/wp-content/PDFdocuments/SAFE/2024/EBSmultispp.pdf</w:t>
        </w:r>
      </w:hyperlink>
      <w:r>
        <w:t xml:space="preserve">.</w:t>
      </w:r>
    </w:p>
    <w:bookmarkEnd w:id="234"/>
    <w:bookmarkStart w:id="23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35">
        <w:r>
          <w:rPr>
            <w:rStyle w:val="Hyperlink"/>
          </w:rPr>
          <w:t xml:space="preserve">http://afsc-assessments.github.io/EBSpollock/</w:t>
        </w:r>
      </w:hyperlink>
      <w:r>
        <w:t xml:space="preserve">.</w:t>
      </w:r>
    </w:p>
    <w:bookmarkEnd w:id="236"/>
    <w:bookmarkStart w:id="23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37"/>
    <w:bookmarkStart w:id="23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38">
        <w:r>
          <w:rPr>
            <w:rStyle w:val="Hyperlink"/>
          </w:rPr>
          <w:t xml:space="preserve">https://doi.org/10.1016/j.fishres.2012.10.012</w:t>
        </w:r>
      </w:hyperlink>
      <w:r>
        <w:t xml:space="preserve">.</w:t>
      </w:r>
    </w:p>
    <w:bookmarkEnd w:id="239"/>
    <w:bookmarkStart w:id="24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0">
        <w:r>
          <w:rPr>
            <w:rStyle w:val="Hyperlink"/>
          </w:rPr>
          <w:t xml:space="preserve">https://doi.org/10.1016/j.fishres.2014.01.014</w:t>
        </w:r>
      </w:hyperlink>
      <w:r>
        <w:t xml:space="preserve">.</w:t>
      </w:r>
    </w:p>
    <w:bookmarkEnd w:id="241"/>
    <w:bookmarkStart w:id="24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2">
        <w:r>
          <w:rPr>
            <w:rStyle w:val="Hyperlink"/>
          </w:rPr>
          <w:t xml:space="preserve">https://doi.org/10.1093/icesjms/fsab078</w:t>
        </w:r>
      </w:hyperlink>
      <w:r>
        <w:t xml:space="preserve">.</w:t>
      </w:r>
    </w:p>
    <w:bookmarkEnd w:id="243"/>
    <w:bookmarkStart w:id="24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44">
        <w:r>
          <w:rPr>
            <w:rStyle w:val="Hyperlink"/>
          </w:rPr>
          <w:t xml:space="preserve">https://doi.org/10.1111/fog.12494</w:t>
        </w:r>
      </w:hyperlink>
      <w:r>
        <w:t xml:space="preserve">.</w:t>
      </w:r>
    </w:p>
    <w:bookmarkEnd w:id="245"/>
    <w:bookmarkStart w:id="24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46"/>
    <w:bookmarkStart w:id="24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47">
        <w:r>
          <w:rPr>
            <w:rStyle w:val="Hyperlink"/>
          </w:rPr>
          <w:t xml:space="preserve">https://doi.org/10.25923/1wwh-q418</w:t>
        </w:r>
      </w:hyperlink>
      <w:r>
        <w:t xml:space="preserve">.</w:t>
      </w:r>
    </w:p>
    <w:bookmarkEnd w:id="248"/>
    <w:bookmarkStart w:id="25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49">
        <w:r>
          <w:rPr>
            <w:rStyle w:val="Hyperlink"/>
          </w:rPr>
          <w:t xml:space="preserve">https://doi.org/10.1016/j.fishres.2021.105967</w:t>
        </w:r>
      </w:hyperlink>
      <w:r>
        <w:t xml:space="preserve">.</w:t>
      </w:r>
    </w:p>
    <w:bookmarkEnd w:id="250"/>
    <w:bookmarkStart w:id="25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1">
        <w:r>
          <w:rPr>
            <w:rStyle w:val="Hyperlink"/>
          </w:rPr>
          <w:t xml:space="preserve">https://doi.org/10.1139/cjfas-2017-0266</w:t>
        </w:r>
      </w:hyperlink>
      <w:r>
        <w:t xml:space="preserve">.</w:t>
      </w:r>
    </w:p>
    <w:bookmarkEnd w:id="252"/>
    <w:bookmarkStart w:id="25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53">
        <w:r>
          <w:rPr>
            <w:rStyle w:val="Hyperlink"/>
          </w:rPr>
          <w:t xml:space="preserve">https://doi.org/10.1002/lno.11238</w:t>
        </w:r>
      </w:hyperlink>
      <w:r>
        <w:t xml:space="preserve">.</w:t>
      </w:r>
    </w:p>
    <w:bookmarkEnd w:id="254"/>
    <w:bookmarkStart w:id="25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55"/>
    <w:bookmarkStart w:id="25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56">
        <w:r>
          <w:rPr>
            <w:rStyle w:val="Hyperlink"/>
          </w:rPr>
          <w:t xml:space="preserve">https://doi.org/10.1016/j.fishres.2015.11.016</w:t>
        </w:r>
      </w:hyperlink>
      <w:r>
        <w:t xml:space="preserve">.</w:t>
      </w:r>
    </w:p>
    <w:bookmarkEnd w:id="257"/>
    <w:bookmarkStart w:id="259"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58">
        <w:r>
          <w:rPr>
            <w:rStyle w:val="Hyperlink"/>
          </w:rPr>
          <w:t xml:space="preserve">https://doi.org/10.1111/1365-2664.13515</w:t>
        </w:r>
      </w:hyperlink>
      <w:r>
        <w:t xml:space="preserve">.</w:t>
      </w:r>
    </w:p>
    <w:bookmarkEnd w:id="259"/>
    <w:bookmarkStart w:id="260"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0"/>
    <w:bookmarkEnd w:id="261"/>
    <w:bookmarkEnd w:id="2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35" Target="http://afsc-assessments.github.io/EBSpollock/" TargetMode="External" /><Relationship Type="http://schemas.openxmlformats.org/officeDocument/2006/relationships/hyperlink" Id="rId22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3" Target="https://doi.org/10.1002/lno.11238" TargetMode="External" /><Relationship Type="http://schemas.openxmlformats.org/officeDocument/2006/relationships/hyperlink" Id="rId238" Target="https://doi.org/10.1016/j.fishres.2012.10.012" TargetMode="External" /><Relationship Type="http://schemas.openxmlformats.org/officeDocument/2006/relationships/hyperlink" Id="rId240" Target="https://doi.org/10.1016/j.fishres.2014.01.014" TargetMode="External" /><Relationship Type="http://schemas.openxmlformats.org/officeDocument/2006/relationships/hyperlink" Id="rId256" Target="https://doi.org/10.1016/j.fishres.2015.11.016" TargetMode="External" /><Relationship Type="http://schemas.openxmlformats.org/officeDocument/2006/relationships/hyperlink" Id="rId249" Target="https://doi.org/10.1016/j.fishres.2021.105967" TargetMode="External" /><Relationship Type="http://schemas.openxmlformats.org/officeDocument/2006/relationships/hyperlink" Id="rId218" Target="https://doi.org/10.1016/j.fishres.2022.106303" TargetMode="External" /><Relationship Type="http://schemas.openxmlformats.org/officeDocument/2006/relationships/hyperlink" Id="rId226" Target="https://doi.org/10.1080/10618600.1996.10474708" TargetMode="External" /><Relationship Type="http://schemas.openxmlformats.org/officeDocument/2006/relationships/hyperlink" Id="rId242" Target="https://doi.org/10.1093/icesjms/fsab078" TargetMode="External" /><Relationship Type="http://schemas.openxmlformats.org/officeDocument/2006/relationships/hyperlink" Id="rId220" Target="https://doi.org/10.1101/2022.03.24.485545" TargetMode="External" /><Relationship Type="http://schemas.openxmlformats.org/officeDocument/2006/relationships/hyperlink" Id="rId258" Target="https://doi.org/10.1111/1365-2664.13515" TargetMode="External" /><Relationship Type="http://schemas.openxmlformats.org/officeDocument/2006/relationships/hyperlink" Id="rId224" Target="https://doi.org/10.1111/faf.12891" TargetMode="External" /><Relationship Type="http://schemas.openxmlformats.org/officeDocument/2006/relationships/hyperlink" Id="rId244" Target="https://doi.org/10.1111/fog.12494" TargetMode="External" /><Relationship Type="http://schemas.openxmlformats.org/officeDocument/2006/relationships/hyperlink" Id="rId251" Target="https://doi.org/10.1139/cjfas-2017-0266" TargetMode="External" /><Relationship Type="http://schemas.openxmlformats.org/officeDocument/2006/relationships/hyperlink" Id="rId231" Target="https://doi.org/10.1139/cjfas-2018-0112" TargetMode="External" /><Relationship Type="http://schemas.openxmlformats.org/officeDocument/2006/relationships/hyperlink" Id="rId247"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35" Target="http://afsc-assessments.github.io/EBSpollock/" TargetMode="External" /><Relationship Type="http://schemas.openxmlformats.org/officeDocument/2006/relationships/hyperlink" Id="rId22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3" Target="https://doi.org/10.1002/lno.11238" TargetMode="External" /><Relationship Type="http://schemas.openxmlformats.org/officeDocument/2006/relationships/hyperlink" Id="rId238" Target="https://doi.org/10.1016/j.fishres.2012.10.012" TargetMode="External" /><Relationship Type="http://schemas.openxmlformats.org/officeDocument/2006/relationships/hyperlink" Id="rId240" Target="https://doi.org/10.1016/j.fishres.2014.01.014" TargetMode="External" /><Relationship Type="http://schemas.openxmlformats.org/officeDocument/2006/relationships/hyperlink" Id="rId256" Target="https://doi.org/10.1016/j.fishres.2015.11.016" TargetMode="External" /><Relationship Type="http://schemas.openxmlformats.org/officeDocument/2006/relationships/hyperlink" Id="rId249" Target="https://doi.org/10.1016/j.fishres.2021.105967" TargetMode="External" /><Relationship Type="http://schemas.openxmlformats.org/officeDocument/2006/relationships/hyperlink" Id="rId218" Target="https://doi.org/10.1016/j.fishres.2022.106303" TargetMode="External" /><Relationship Type="http://schemas.openxmlformats.org/officeDocument/2006/relationships/hyperlink" Id="rId226" Target="https://doi.org/10.1080/10618600.1996.10474708" TargetMode="External" /><Relationship Type="http://schemas.openxmlformats.org/officeDocument/2006/relationships/hyperlink" Id="rId242" Target="https://doi.org/10.1093/icesjms/fsab078" TargetMode="External" /><Relationship Type="http://schemas.openxmlformats.org/officeDocument/2006/relationships/hyperlink" Id="rId220" Target="https://doi.org/10.1101/2022.03.24.485545" TargetMode="External" /><Relationship Type="http://schemas.openxmlformats.org/officeDocument/2006/relationships/hyperlink" Id="rId258" Target="https://doi.org/10.1111/1365-2664.13515" TargetMode="External" /><Relationship Type="http://schemas.openxmlformats.org/officeDocument/2006/relationships/hyperlink" Id="rId224" Target="https://doi.org/10.1111/faf.12891" TargetMode="External" /><Relationship Type="http://schemas.openxmlformats.org/officeDocument/2006/relationships/hyperlink" Id="rId244" Target="https://doi.org/10.1111/fog.12494" TargetMode="External" /><Relationship Type="http://schemas.openxmlformats.org/officeDocument/2006/relationships/hyperlink" Id="rId251" Target="https://doi.org/10.1139/cjfas-2017-0266" TargetMode="External" /><Relationship Type="http://schemas.openxmlformats.org/officeDocument/2006/relationships/hyperlink" Id="rId231" Target="https://doi.org/10.1139/cjfas-2018-0112" TargetMode="External" /><Relationship Type="http://schemas.openxmlformats.org/officeDocument/2006/relationships/hyperlink" Id="rId247"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2025-05-22T15:39:51Z</dcterms:created>
  <dcterms:modified xsi:type="dcterms:W3CDTF">2025-05-22T15:39:51Z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