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106.png" ContentType="image/png"/>
  <Override PartName="/word/media/rId97.png" ContentType="image/png"/>
  <Override PartName="/word/media/rId135.png" ContentType="image/png"/>
  <Override PartName="/word/media/rId139.png" ContentType="image/png"/>
  <Override PartName="/word/media/rId160.png" ContentType="image/png"/>
  <Override PartName="/word/media/rId164.png" ContentType="image/png"/>
  <Override PartName="/word/media/rId145.png" ContentType="image/png"/>
  <Override PartName="/word/media/rId149.png" ContentType="image/png"/>
  <Override PartName="/word/media/rId153.png" ContentType="image/png"/>
  <Override PartName="/word/media/rId169.png" ContentType="image/png"/>
  <Override PartName="/word/media/rId173.png" ContentType="image/png"/>
  <Override PartName="/word/media/rId178.png" ContentType="image/png"/>
  <Override PartName="/word/media/rId182.png" ContentType="image/png"/>
  <Override PartName="/word/media/rId119.png" ContentType="image/png"/>
  <Override PartName="/word/media/rId131.png" ContentType="image/png"/>
  <Override PartName="/word/media/rId123.png" ContentType="image/png"/>
  <Override PartName="/word/media/rId127.png" ContentType="image/png"/>
  <Override PartName="/word/media/rId111.png" ContentType="image/png"/>
  <Override PartName="/word/media/rId47.png" ContentType="image/png"/>
  <Override PartName="/word/media/rId43.png" ContentType="image/png"/>
  <Override PartName="/word/media/rId193.png" ContentType="image/png"/>
  <Override PartName="/word/media/rId188.png" ContentType="image/png"/>
  <Override PartName="/word/media/rId67.png" ContentType="image/png"/>
  <Override PartName="/word/media/rId63.png" ContentType="image/png"/>
  <Override PartName="/word/media/rId27.png" ContentType="image/png"/>
  <Override PartName="/word/media/rId2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Sophia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This report builds on the 2024 pollock stock assessment, using the same datasets but extending the evaluation through new tools, data comparisons, and sensitivity analyses. The primary goal is to evaluate how alternative data sources, modeling approaches, and assumptions affect the perception of stock status and management advice.</w:t>
      </w:r>
    </w:p>
    <w:p>
      <w:pPr>
        <w:pStyle w:val="BodyText"/>
      </w:pPr>
      <w:r>
        <w:t xml:space="preserve">The first section introduces the</w:t>
      </w:r>
      <w:r>
        <w:t xml:space="preserve"> </w:t>
      </w:r>
      <w:r>
        <w:rPr>
          <w:b/>
          <w:bCs/>
        </w:rPr>
        <w:t xml:space="preserve">R library</w:t>
      </w:r>
      <w:r>
        <w:rPr>
          <w:b/>
          <w:bCs/>
        </w:rPr>
        <w:t xml:space="preserve"> </w:t>
      </w:r>
      <w:r>
        <w:rPr>
          <w:rStyle w:val="VerbatimChar"/>
          <w:b/>
          <w:bCs/>
        </w:rPr>
        <w:t xml:space="preserve">ebswp</w:t>
      </w:r>
      <w:r>
        <w:t xml:space="preserve"> </w:t>
      </w:r>
      <w:r>
        <w:t xml:space="preserve">(</w:t>
      </w:r>
      <w:hyperlink w:anchor="sec-ebswp">
        <w:r>
          <w:rPr>
            <w:rStyle w:val="Hyperlink"/>
          </w:rPr>
          <w:t xml:space="preserve">see 1</w:t>
        </w:r>
      </w:hyperlink>
      <w:r>
        <w:t xml:space="preserve">), which streamlines compilation and visualization of assessment results. This provides a foundation for reproducible workflows across different model scenarios.</w:t>
      </w:r>
    </w:p>
    <w:p>
      <w:pPr>
        <w:pStyle w:val="BodyText"/>
      </w:pPr>
      <w:r>
        <w:t xml:space="preserve">The second section presents</w:t>
      </w:r>
      <w:r>
        <w:t xml:space="preserve"> </w:t>
      </w:r>
      <w:r>
        <w:rPr>
          <w:b/>
          <w:bCs/>
        </w:rPr>
        <w:t xml:space="preserve">comparisons of FT-NIR and traditional microscope age estimates</w:t>
      </w:r>
      <w:r>
        <w:t xml:space="preserve"> </w:t>
      </w:r>
      <w:r>
        <w:t xml:space="preserve">(</w:t>
      </w:r>
      <w:hyperlink w:anchor="sec-ftnir">
        <w:r>
          <w:rPr>
            <w:rStyle w:val="Hyperlink"/>
          </w:rPr>
          <w:t xml:space="preserve">see 2</w:t>
        </w:r>
      </w:hyperlink>
      <w:r>
        <w:t xml:space="preserve">). FT-NIR offers efficiencies but showed lower cohort consistency in bottom-trawl data compared to traditional ageing. Model runs incorporating FT-NIRs demonstrated that treatment of ageing error (fleet-aggregated vs. fleet-specific) influences perception of spawning biomass and reference points, though management quantities remained broadly comparable.</w:t>
      </w:r>
    </w:p>
    <w:p>
      <w:pPr>
        <w:pStyle w:val="BodyText"/>
      </w:pPr>
      <w:r>
        <w:t xml:space="preserve">In the next section we explore</w:t>
      </w:r>
      <w:r>
        <w:t xml:space="preserve"> </w:t>
      </w:r>
      <w:r>
        <w:rPr>
          <w:b/>
          <w:bCs/>
        </w:rPr>
        <w:t xml:space="preserve">leave-one-out survey sensitivity analyses</w:t>
      </w:r>
      <w:r>
        <w:t xml:space="preserve"> </w:t>
      </w:r>
      <w:r>
        <w:t xml:space="preserve">(</w:t>
      </w:r>
      <w:hyperlink w:anchor="sec-loo">
        <w:r>
          <w:rPr>
            <w:rStyle w:val="Hyperlink"/>
          </w:rPr>
          <w:t xml:space="preserve">see 3</w:t>
        </w:r>
      </w:hyperlink>
      <w:r>
        <w:t xml:space="preserve">). Results indicated that the influence of the bottom-trawl survey (BTS) was largest. Spawning biomass and recruitment estimates changed considerably when BTS data were downweighted. Other data sources, such as ATS and AVO indices, contributed less to overall stock trends.</w:t>
      </w:r>
    </w:p>
    <w:p>
      <w:pPr>
        <w:pStyle w:val="BodyText"/>
      </w:pPr>
      <w:r>
        <w:t xml:space="preserve">The next sections examine incorporation of</w:t>
      </w:r>
      <w:r>
        <w:t xml:space="preserve"> </w:t>
      </w:r>
      <w:r>
        <w:rPr>
          <w:b/>
          <w:bCs/>
        </w:rPr>
        <w:t xml:space="preserve">multi-species natural mortality (M-at-age and year) estimates and revised acoustic-trawl survey</w:t>
      </w:r>
      <w:r>
        <w:rPr>
          <w:b/>
          <w:bCs/>
        </w:rPr>
        <w:t xml:space="preserve"> </w:t>
      </w:r>
      <w:r>
        <w:rPr>
          <w:b/>
          <w:bCs/>
        </w:rPr>
        <w:t xml:space="preserve">uncertainty</w:t>
      </w:r>
      <w:r>
        <w:t xml:space="preserve"> </w:t>
      </w:r>
      <w:r>
        <w:t xml:space="preserve">(</w:t>
      </w:r>
      <w:hyperlink w:anchor="sec-multispp">
        <w:r>
          <w:rPr>
            <w:rStyle w:val="Hyperlink"/>
          </w:rPr>
          <w:t xml:space="preserve">see 4</w:t>
        </w:r>
      </w:hyperlink>
      <w:r>
        <w:t xml:space="preserve">). CEATTLE-based M estimates led to higher mortality at many ages, resulting in higher recruitment but</w:t>
      </w:r>
      <w:r>
        <w:t xml:space="preserve"> </w:t>
      </w:r>
      <w:r>
        <w:t xml:space="preserve">lower near-term spawning biomass relative to the 2024 base model. Alternative acoustic estimates (</w:t>
      </w:r>
      <w:r>
        <w:t xml:space="preserve">Urmy, Ressler, and De Robertis (2025)</w:t>
      </w:r>
      <w:r>
        <w:t xml:space="preserve">) had smaller effects on</w:t>
      </w:r>
      <w:r>
        <w:t xml:space="preserve"> </w:t>
      </w:r>
      <w:r>
        <w:t xml:space="preserve">management benchmarks, but highlight areas for further refinement.</w:t>
      </w:r>
    </w:p>
    <w:p>
      <w:pPr>
        <w:pStyle w:val="BodyText"/>
      </w:pPr>
      <w:r>
        <w:t xml:space="preserve">In the fifth section we evaluated some</w:t>
      </w:r>
      <w:r>
        <w:t xml:space="preserve"> </w:t>
      </w:r>
      <w:r>
        <w:rPr>
          <w:b/>
          <w:bCs/>
        </w:rPr>
        <w:t xml:space="preserve">alternative assessment platforms</w:t>
      </w:r>
      <w:r>
        <w:t xml:space="preserve"> </w:t>
      </w:r>
      <w:r>
        <w:t xml:space="preserve">(</w:t>
      </w:r>
      <w:hyperlink w:anchor="sec-altsoft">
        <w:r>
          <w:rPr>
            <w:rStyle w:val="Hyperlink"/>
          </w:rPr>
          <w:t xml:space="preserve">see 5</w:t>
        </w:r>
      </w:hyperlink>
      <w:r>
        <w:t xml:space="preserve">), including SS3, SAM, Rceattle,</w:t>
      </w:r>
      <w:r>
        <w:t xml:space="preserve"> </w:t>
      </w:r>
      <w:r>
        <w:t xml:space="preserve">and a spatial RTMB model. Results demonstrated broad consistency in stock trends but revealed platform-specific differences</w:t>
      </w:r>
      <w:r>
        <w:t xml:space="preserve"> </w:t>
      </w:r>
      <w:r>
        <w:t xml:space="preserve">in selectivity, recruitment, and uncertainty. Early applications of Rceattle and spatial models suggest promising</w:t>
      </w:r>
      <w:r>
        <w:t xml:space="preserve"> </w:t>
      </w:r>
      <w:r>
        <w:t xml:space="preserve">avenues for bridging across platforms and explicitly modeling spatial or sex-specific processes.</w:t>
      </w:r>
    </w:p>
    <w:p>
      <w:pPr>
        <w:pStyle w:val="BodyText"/>
      </w:pPr>
      <w:r>
        <w:t xml:space="preserve">The next section we presented</w:t>
      </w:r>
      <w:r>
        <w:t xml:space="preserve"> </w:t>
      </w:r>
      <w:r>
        <w:rPr>
          <w:b/>
          <w:bCs/>
        </w:rPr>
        <w:t xml:space="preserve">bottom-trawl survey spatial distribution modeling</w:t>
      </w:r>
      <w:r>
        <w:t xml:space="preserve"> </w:t>
      </w:r>
      <w:r>
        <w:t xml:space="preserve">(</w:t>
      </w:r>
      <w:hyperlink w:anchor="sec-btsmodel">
        <w:r>
          <w:rPr>
            <w:rStyle w:val="Hyperlink"/>
          </w:rPr>
          <w:t xml:space="preserve">see 6</w:t>
        </w:r>
      </w:hyperlink>
      <w:r>
        <w:t xml:space="preserve">), using sdmTMB and tinyVAST.</w:t>
      </w:r>
      <w:r>
        <w:t xml:space="preserve"> </w:t>
      </w:r>
      <w:r>
        <w:t xml:space="preserve">Model-based indices and age compositions incorporated environmental covariates such as cold-pool extent and bottom temperature,</w:t>
      </w:r>
      <w:r>
        <w:t xml:space="preserve"> </w:t>
      </w:r>
      <w:r>
        <w:t xml:space="preserve">improving robustness in years with sparse coverage. The resulting indices were consistent with design-based estimates,</w:t>
      </w:r>
      <w:r>
        <w:t xml:space="preserve"> </w:t>
      </w:r>
      <w:r>
        <w:t xml:space="preserve">but offered improved diagnostics and continuity across survey years.</w:t>
      </w:r>
    </w:p>
    <w:p>
      <w:pPr>
        <w:pStyle w:val="BodyText"/>
      </w:pPr>
      <w:r>
        <w:t xml:space="preserve">The seventh section details</w:t>
      </w:r>
      <w:r>
        <w:t xml:space="preserve"> </w:t>
      </w:r>
      <w:r>
        <w:rPr>
          <w:b/>
          <w:bCs/>
        </w:rPr>
        <w:t xml:space="preserve">fishery selectivity parameterization</w:t>
      </w:r>
      <w:r>
        <w:t xml:space="preserve"> </w:t>
      </w:r>
      <w:r>
        <w:t xml:space="preserve">(</w:t>
      </w:r>
      <w:hyperlink w:anchor="sec-selnotes">
        <w:r>
          <w:rPr>
            <w:rStyle w:val="Hyperlink"/>
          </w:rPr>
          <w:t xml:space="preserve">see 7</w:t>
        </w:r>
      </w:hyperlink>
      <w:r>
        <w:t xml:space="preserve">).</w:t>
      </w:r>
      <w:r>
        <w:t xml:space="preserve"> </w:t>
      </w:r>
      <w:r>
        <w:t xml:space="preserve">A formal derivation and implementation of time-varying selectivity highlights how plateau</w:t>
      </w:r>
      <w:r>
        <w:t xml:space="preserve"> </w:t>
      </w:r>
      <w:r>
        <w:t xml:space="preserve">assumptions, normalization constraints, and penalized deviations are used to ensure</w:t>
      </w:r>
      <w:r>
        <w:t xml:space="preserve"> </w:t>
      </w:r>
      <w:r>
        <w:t xml:space="preserve">interpretable and stable selectivity estimates. This clarifies the role of selectivity</w:t>
      </w:r>
      <w:r>
        <w:t xml:space="preserve"> </w:t>
      </w:r>
      <w:r>
        <w:t xml:space="preserve">in driving historical and current exploitation patterns.</w:t>
      </w:r>
    </w:p>
    <w:p>
      <w:pPr>
        <w:pStyle w:val="BodyText"/>
      </w:pPr>
      <w:r>
        <w:t xml:space="preserve">Overall, the analyses underscore three key points:</w:t>
      </w:r>
    </w:p>
    <w:p>
      <w:pPr>
        <w:pStyle w:val="Compact"/>
        <w:numPr>
          <w:ilvl w:val="0"/>
          <w:numId w:val="1001"/>
        </w:numPr>
      </w:pPr>
      <w:r>
        <w:rPr>
          <w:i/>
          <w:iCs/>
        </w:rPr>
        <w:t xml:space="preserve">Emerging methods:</w:t>
      </w:r>
      <w:r>
        <w:t xml:space="preserve"> </w:t>
      </w:r>
      <w:r>
        <w:t xml:space="preserve">FT-NIR ageing, multi-species mortality, and model-based survey products hold promise but require careful validation.</w:t>
      </w:r>
      <w:r>
        <w:br/>
      </w:r>
    </w:p>
    <w:p>
      <w:pPr>
        <w:pStyle w:val="Compact"/>
        <w:numPr>
          <w:ilvl w:val="0"/>
          <w:numId w:val="1001"/>
        </w:numPr>
      </w:pPr>
      <w:r>
        <w:rPr>
          <w:i/>
          <w:iCs/>
        </w:rPr>
        <w:t xml:space="preserve">Data dependence:</w:t>
      </w:r>
      <w:r>
        <w:t xml:space="preserve"> </w:t>
      </w:r>
      <w:r>
        <w:t xml:space="preserve">The BTS survey remains the critical data source, with model outcomes highly sensitive to its inclusion.</w:t>
      </w:r>
      <w:r>
        <w:br/>
      </w:r>
    </w:p>
    <w:p>
      <w:pPr>
        <w:pStyle w:val="Compact"/>
        <w:numPr>
          <w:ilvl w:val="0"/>
          <w:numId w:val="1001"/>
        </w:numPr>
      </w:pPr>
      <w:r>
        <w:rPr>
          <w:i/>
          <w:iCs/>
        </w:rPr>
        <w:t xml:space="preserve">Platform diversification:</w:t>
      </w:r>
      <w:r>
        <w:t xml:space="preserve"> </w:t>
      </w:r>
      <w:r>
        <w:t xml:space="preserve">Alternative modeling frameworks provide useful cross-checks</w:t>
      </w:r>
      <w:r>
        <w:t xml:space="preserve"> </w:t>
      </w:r>
      <w:r>
        <w:t xml:space="preserve">and avenues for future development, enhancing confidence in assessment results.</w:t>
      </w:r>
    </w:p>
    <w:bookmarkEnd w:id="20"/>
    <w:bookmarkStart w:id="22" w:name="sec-ebswp"/>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sec-ftnir"/>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Estimated derived quantities and selected corresponding CVs for stock status and reference point estimates to primary data (base) and for different FT-NIR data treatments for age-error estimates.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sec-loo"/>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w:t>
      </w:r>
      <w:r>
        <w:t xml:space="preserve"> </w:t>
      </w:r>
      <w:r>
        <w:t xml:space="preserve">includes six model runs: (1) downweight all Acoustic Trawl Survey (ATS) data (age 1 survey</w:t>
      </w:r>
      <w:r>
        <w:t xml:space="preserve"> </w:t>
      </w:r>
      <w:r>
        <w:t xml:space="preserve">index, age 2+ survey biomass index, and age composition data), (2) downweight the ATS age</w:t>
      </w:r>
      <w:r>
        <w:t xml:space="preserve"> </w:t>
      </w:r>
      <w:r>
        <w:t xml:space="preserve">composition data, (3) downweight the Acoustic Vessels of Opportunity (AVO) data (survey</w:t>
      </w:r>
      <w:r>
        <w:t xml:space="preserve"> </w:t>
      </w:r>
      <w:r>
        <w:t xml:space="preserve">biomass index), (4) downweight all Eastern Bering Sea Trawl Survey (BTS) data (age 1+</w:t>
      </w:r>
      <w:r>
        <w:t xml:space="preserve"> </w:t>
      </w:r>
      <w:r>
        <w:t xml:space="preserve">survey biomass index and age composition data), (5) downweight the BTS age composition</w:t>
      </w:r>
      <w:r>
        <w:t xml:space="preserve"> </w:t>
      </w:r>
      <w:r>
        <w:t xml:space="preserve">data, and (6) downweight all survey biomass indices (BTS, ATS, and AVO survey biomass</w:t>
      </w:r>
      <w:r>
        <w:t xml:space="preserve"> </w:t>
      </w:r>
      <w:r>
        <w:t xml:space="preserve">indices). The ATS age 1 data are included as a separate survey index in the assessment</w:t>
      </w:r>
      <w:r>
        <w:t xml:space="preserve"> </w:t>
      </w:r>
      <w:r>
        <w:t xml:space="preserve">model, while BTS age 1 data are included with the age composition data in the multinomial</w:t>
      </w:r>
      <w:r>
        <w:t xml:space="preserve"> </w:t>
      </w:r>
      <w:r>
        <w:t xml:space="preserve">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downweighting the BTS data (both solely downweighting the BTS age</w:t>
      </w:r>
      <w:r>
        <w:t xml:space="preserve"> </w:t>
      </w:r>
      <w:r>
        <w:t xml:space="preserve">composition data and downweighting all BTS data) led to changes in trends over time in</w:t>
      </w:r>
      <w:r>
        <w:t xml:space="preserve"> </w:t>
      </w:r>
      <w:r>
        <w:t xml:space="preserve">estimated spawning biomass</w:t>
      </w:r>
      <w:r>
        <w:t xml:space="preserve"> </w:t>
      </w:r>
      <w:hyperlink w:anchor="fig-loo-ssb">
        <w:r>
          <w:rPr>
            <w:rStyle w:val="Hyperlink"/>
          </w:rPr>
          <w:t xml:space="preserve">Figure 12</w:t>
        </w:r>
      </w:hyperlink>
      <w:r>
        <w:t xml:space="preserve"> </w:t>
      </w:r>
      <w:r>
        <w:t xml:space="preserve">. The model estimates of recruitment were variable</w:t>
      </w:r>
      <w:r>
        <w:t xml:space="preserve"> </w:t>
      </w:r>
      <w:r>
        <w:t xml:space="preserve">across sensitivity runs, but estimates differed the most from the 2024 accepted model when</w:t>
      </w:r>
      <w:r>
        <w:t xml:space="preserve"> </w:t>
      </w:r>
      <w:r>
        <w:t xml:space="preserve">all BTS data were downweighted</w:t>
      </w:r>
      <w:r>
        <w:t xml:space="preserve"> </w:t>
      </w:r>
      <w:hyperlink w:anchor="fig-loo-recruitment">
        <w:r>
          <w:rPr>
            <w:rStyle w:val="Hyperlink"/>
          </w:rPr>
          <w:t xml:space="preserve">Figure 13</w:t>
        </w:r>
      </w:hyperlink>
      <w:r>
        <w:t xml:space="preserve">. Estimates of BTS survey biomass fit</w:t>
      </w:r>
      <w:r>
        <w:t xml:space="preserve"> </w:t>
      </w:r>
      <w:r>
        <w:t xml:space="preserve">the BTS data very poorly in most years when the BTS data were downweighted</w:t>
      </w:r>
      <w:r>
        <w:t xml:space="preserve"> </w:t>
      </w:r>
      <w:r>
        <w:t xml:space="preserve">(</w:t>
      </w:r>
      <w:hyperlink w:anchor="fig-loo-bts-index">
        <w:r>
          <w:rPr>
            <w:rStyle w:val="Hyperlink"/>
          </w:rPr>
          <w:t xml:space="preserve">Figure 14</w:t>
        </w:r>
      </w:hyperlink>
      <w:r>
        <w:t xml:space="preserve">). Additionally, the fits to the BTS survey biomass were affected by</w:t>
      </w:r>
      <w:r>
        <w:t xml:space="preserve"> </w:t>
      </w:r>
      <w:r>
        <w:t xml:space="preserve">downweighting the BTS age composition data (without downweighting the BTS survey index).</w:t>
      </w:r>
      <w:r>
        <w:t xml:space="preserve"> </w:t>
      </w:r>
      <w:r>
        <w:t xml:space="preserve">The model was relatively insensitive to other data being excluded, and fits to the ATS and</w:t>
      </w:r>
      <w:r>
        <w:t xml:space="preserve"> </w:t>
      </w:r>
      <w:r>
        <w:t xml:space="preserve">AVO indices were relatively insensitive to downweighting the BTS data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 root mean square</w:t>
      </w:r>
      <w:r>
        <w:t xml:space="preserve"> </w:t>
      </w:r>
      <w:r>
        <w:t xml:space="preserve">error (RMSE) in</w:t>
      </w:r>
      <w:r>
        <w:t xml:space="preserve"> </w:t>
      </w:r>
      <w:hyperlink w:anchor="tbl-loo_fits">
        <w:r>
          <w:rPr>
            <w:rStyle w:val="Hyperlink"/>
          </w:rPr>
          <w:t xml:space="preserve">Table 5</w:t>
        </w:r>
      </w:hyperlink>
      <w:r>
        <w:t xml:space="preserve"> </w:t>
      </w:r>
      <w:r>
        <w:t xml:space="preserve">for the model run that downweighted all BTS data was large</w:t>
      </w:r>
      <w:r>
        <w:t xml:space="preserve"> </w:t>
      </w:r>
      <w:r>
        <w:t xml:space="preserve">and the and effective sample size (Eff. N) was low as compared to the 2024 accepted model.</w:t>
      </w:r>
      <w:r>
        <w:t xml:space="preserve"> </w:t>
      </w:r>
      <w:r>
        <w:t xml:space="preserve">Additionally, downweighting solely the BTS age composition data led to low effective</w:t>
      </w:r>
      <w:r>
        <w:t xml:space="preserve"> </w:t>
      </w:r>
      <w:r>
        <w:t xml:space="preserve">sample size for the BTS.</w:t>
      </w:r>
    </w:p>
    <w:p>
      <w:pPr>
        <w:pStyle w:val="BodyText"/>
      </w:pPr>
      <w:r>
        <w:t xml:space="preserve">The importance of the survey data can be seen in some of the reference calculations where</w:t>
      </w:r>
      <w:r>
        <w:t xml:space="preserve"> </w:t>
      </w:r>
      <w:r>
        <w:t xml:space="preserve">the uncertainty increases dramatically and the stock-status perception was quite different</w:t>
      </w:r>
      <w:r>
        <w:t xml:space="preserve"> </w:t>
      </w:r>
      <w:r>
        <w:t xml:space="preserve">across sensitivity runs</w:t>
      </w:r>
      <w:r>
        <w:t xml:space="preserve"> </w:t>
      </w:r>
      <w:hyperlink w:anchor="tbl-loo_ref">
        <w:r>
          <w:rPr>
            <w:rStyle w:val="Hyperlink"/>
          </w:rPr>
          <w:t xml:space="preserve">Table 6</w:t>
        </w:r>
      </w:hyperlink>
      <w:r>
        <w:t xml:space="preserve">. Most dramatically, dropping all survey indices led</w:t>
      </w:r>
      <w:r>
        <w:t xml:space="preserve"> </w:t>
      </w:r>
      <w:r>
        <w:t xml:space="preserve">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18" w:name="sec-multispp"/>
    <w:p>
      <w:pPr>
        <w:pStyle w:val="Heading1"/>
      </w:pPr>
      <w:r>
        <w:t xml:space="preserve">Other model evaluations for base model</w:t>
      </w:r>
    </w:p>
    <w:bookmarkStart w:id="110" w:name="X78b83116a079f9fbccdbea2e8a923245176ba43"/>
    <w:p>
      <w:pPr>
        <w:pStyle w:val="Heading2"/>
      </w:pPr>
      <w:r>
        <w:t xml:space="preserve">Multi-species M-at-age and year estimates</w:t>
      </w:r>
    </w:p>
    <w:p>
      <w:pPr>
        <w:pStyle w:val="FirstParagraph"/>
      </w:pPr>
      <w:r>
        <w:t xml:space="preserve">A commonly adopted approach is to use estimated natural mortality-at-age and year from</w:t>
      </w:r>
      <w:r>
        <w:t xml:space="preserve"> </w:t>
      </w:r>
      <w:r>
        <w:t xml:space="preserve">multispecies trophic interaction models (e.g.,</w:t>
      </w:r>
      <w:r>
        <w:t xml:space="preserve"> </w:t>
      </w:r>
      <w:r>
        <w:t xml:space="preserve">Trijoulet, Fay, and Miller (2020)</w:t>
      </w:r>
      <w:r>
        <w:t xml:space="preserve">). The current assessment has</w:t>
      </w:r>
      <w:r>
        <w:t xml:space="preserve"> </w:t>
      </w:r>
      <w:r>
        <w:t xml:space="preserve">an option to include the 2024 CEATTLE estimates of natural mortality (</w:t>
      </w:r>
      <w:hyperlink w:anchor="tbl-Mmatrix">
        <w:r>
          <w:rPr>
            <w:rStyle w:val="Hyperlink"/>
          </w:rPr>
          <w:t xml:space="preserve">Table 7</w:t>
        </w:r>
      </w:hyperlink>
      <w:r>
        <w:t xml:space="preserve">;</w:t>
      </w:r>
      <w:r>
        <w:t xml:space="preserve"> </w:t>
      </w:r>
      <w:hyperlink w:anchor="fig-Mmatrix_matrix">
        <w:r>
          <w:rPr>
            <w:rStyle w:val="Hyperlink"/>
          </w:rPr>
          <w:t xml:space="preserve">Figure 17</w:t>
        </w:r>
      </w:hyperlink>
      <w:r>
        <w:t xml:space="preserve">). This resulted in slightly higher recruitment (</w:t>
      </w:r>
      <w:hyperlink w:anchor="fig-Mmat-recruitment">
        <w:r>
          <w:rPr>
            <w:rStyle w:val="Hyperlink"/>
          </w:rPr>
          <w:t xml:space="preserve">Figure 18</w:t>
        </w:r>
      </w:hyperlink>
      <w:r>
        <w:t xml:space="preserve">)</w:t>
      </w:r>
      <w:r>
        <w:t xml:space="preserve"> </w:t>
      </w:r>
      <w:r>
        <w:t xml:space="preserve">lower spawning biomass in the near term (</w:t>
      </w:r>
      <w:hyperlink w:anchor="fig-Mmat-ssb">
        <w:r>
          <w:rPr>
            <w:rStyle w:val="Hyperlink"/>
          </w:rPr>
          <w:t xml:space="preserve">Figure 19</w:t>
        </w:r>
      </w:hyperlink>
      <w:r>
        <w:t xml:space="preserve">). This is due to the higher natural</w:t>
      </w:r>
      <w:r>
        <w:t xml:space="preserve"> </w:t>
      </w:r>
      <w:r>
        <w:t xml:space="preserve">mortality for most ages and years compared to the base 2024 model.</w:t>
      </w:r>
    </w:p>
    <w:tbl>
      <w:tblPr>
        <w:tblStyle w:val="Table"/>
        <w:tblW w:type="pct" w:w="5000"/>
        <w:tblLayout w:type="fixed"/>
        <w:tblLook w:firstRow="0" w:lastRow="0" w:firstColumn="0" w:lastColumn="0" w:noHBand="0" w:noVBand="0" w:val="0000"/>
      </w:tblPr>
      <w:tblGrid>
        <w:gridCol w:w="7920"/>
      </w:tblGrid>
      <w:tr>
        <w:tc>
          <w:tcPr/>
          <w:bookmarkStart w:id="100" w:name="fig-Mmatrix_matrix"/>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Mmatrix_matrix-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Depiction of the natural mortality (variability from mean value at age) as estimated from CEATTLE.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1" w:name="tbl-Mmatrix"/>
          <w:p>
            <w:pPr>
              <w:jc w:val="center"/>
            </w:pPr>
            <w:pPr>
              <w:jc w:val="start"/>
              <w:spacing w:before="200"/>
              <w:pStyle w:val="ImageCaption"/>
            </w:pPr>
            <w:r>
              <w:t xml:space="preserve">Table 7: Natural mortality-at-age used over ages and time based on the CEATTLE 2024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0.3001</w:t>
                  </w:r>
                </w:p>
              </w:tc>
            </w:tr>
          </w:tbl>
          <w:bookmarkEnd w:id="101"/>
        </w:tc>
      </w:tr>
    </w:tbl>
    <w:tbl>
      <w:tblPr>
        <w:tblStyle w:val="Table"/>
        <w:tblW w:type="pct" w:w="5000"/>
        <w:tblLayout w:type="fixed"/>
        <w:tblLook w:firstRow="0" w:lastRow="0" w:firstColumn="0" w:lastColumn="0" w:noHBand="0" w:noVBand="0" w:val="0000"/>
      </w:tblPr>
      <w:tblGrid>
        <w:gridCol w:w="7920"/>
      </w:tblGrid>
      <w:tr>
        <w:tc>
          <w:tcPr/>
          <w:bookmarkStart w:id="105" w:name="fig-Mmat-recruitment"/>
          <w:p>
            <w:pPr>
              <w:pStyle w:val="Compact"/>
              <w:jc w:val="center"/>
            </w:pPr>
            <w:r>
              <w:drawing>
                <wp:inline>
                  <wp:extent cx="5334000" cy="4267200"/>
                  <wp:effectExtent b="0" l="0" r="0" t="0"/>
                  <wp:docPr descr="" title="" id="103" name="Picture"/>
                  <a:graphic>
                    <a:graphicData uri="http://schemas.openxmlformats.org/drawingml/2006/picture">
                      <pic:pic>
                        <pic:nvPicPr>
                          <pic:cNvPr descr="CIE_files/figure-docx/fig-Mmat-recruitment-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Comparison of recruitment estimates comparing 2024 assessment results with one where M-at-age and year is specified from CEATTLE.</w:t>
            </w:r>
          </w:p>
          <w:bookmarkEnd w:id="105"/>
        </w:tc>
      </w:tr>
    </w:tbl>
    <w:tbl>
      <w:tblPr>
        <w:tblStyle w:val="Table"/>
        <w:tblW w:type="pct" w:w="5000"/>
        <w:tblLayout w:type="fixed"/>
        <w:tblLook w:firstRow="0" w:lastRow="0" w:firstColumn="0" w:lastColumn="0" w:noHBand="0" w:noVBand="0" w:val="0000"/>
      </w:tblPr>
      <w:tblGrid>
        <w:gridCol w:w="7920"/>
      </w:tblGrid>
      <w:tr>
        <w:tc>
          <w:tcPr/>
          <w:bookmarkStart w:id="109" w:name="fig-Mmat-ssb"/>
          <w:p>
            <w:pPr>
              <w:pStyle w:val="Compact"/>
              <w:jc w:val="center"/>
            </w:pPr>
            <w:r>
              <w:drawing>
                <wp:inline>
                  <wp:extent cx="5334000" cy="4267200"/>
                  <wp:effectExtent b="0" l="0" r="0" t="0"/>
                  <wp:docPr descr="" title="" id="107" name="Picture"/>
                  <a:graphic>
                    <a:graphicData uri="http://schemas.openxmlformats.org/drawingml/2006/picture">
                      <pic:pic>
                        <pic:nvPicPr>
                          <pic:cNvPr descr="CIE_files/figure-docx/fig-Mmat-ssb-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Comparison of spawning biomass (SSB) and SSB relative to the 2024 accepted model for model that uses the M-at-age matrix from CEATTLE.</w:t>
            </w:r>
          </w:p>
          <w:bookmarkEnd w:id="109"/>
        </w:tc>
      </w:tr>
    </w:tbl>
    <w:bookmarkEnd w:id="110"/>
    <w:bookmarkStart w:id="117" w:name="total-uncertainty-in-acoustics"/>
    <w:p>
      <w:pPr>
        <w:pStyle w:val="Heading2"/>
      </w:pPr>
      <w:r>
        <w:t xml:space="preserve">Total uncertainty in acoustics</w:t>
      </w:r>
    </w:p>
    <w:p>
      <w:pPr>
        <w:pStyle w:val="FirstParagraph"/>
      </w:pPr>
      <w:r>
        <w:t xml:space="preserve">We also include a comparison of revised acoustic-trawl estimates (</w:t>
      </w:r>
      <w:r>
        <w:t xml:space="preserve">Urmy, Ressler, and De Robertis (2025)</w:t>
      </w:r>
      <w:r>
        <w:t xml:space="preserve">;</w:t>
      </w:r>
      <w:r>
        <w:t xml:space="preserve"> </w:t>
      </w:r>
      <w:hyperlink w:anchor="fig-urmy_ats">
        <w:r>
          <w:rPr>
            <w:rStyle w:val="Hyperlink"/>
          </w:rPr>
          <w:t xml:space="preserve">Figure 20</w:t>
        </w:r>
      </w:hyperlink>
      <w:r>
        <w:t xml:space="preserve">). The natural mortaliity alternative run resulted in generally better fits</w:t>
      </w:r>
      <w:r>
        <w:t xml:space="preserve"> </w:t>
      </w:r>
      <w:r>
        <w:t xml:space="preserve">to most data components whereas the</w:t>
      </w:r>
      <w:r>
        <w:t xml:space="preserve"> </w:t>
      </w:r>
      <w:r>
        <w:t xml:space="preserve">“untuned”</w:t>
      </w:r>
      <w:r>
        <w:t xml:space="preserve"> </w:t>
      </w:r>
      <w:r>
        <w:t xml:space="preserve">run with the</w:t>
      </w:r>
      <w:r>
        <w:t xml:space="preserve"> </w:t>
      </w:r>
      <w:r>
        <w:t xml:space="preserve">Urmy, Ressler, and De Robertis (2025)</w:t>
      </w:r>
      <w:r>
        <w:t xml:space="preserve"> </w:t>
      </w:r>
      <w:r>
        <w:t xml:space="preserve">estimates were</w:t>
      </w:r>
      <w:r>
        <w:t xml:space="preserve"> </w:t>
      </w:r>
      <w:r>
        <w:t xml:space="preserve">generally poorer (</w:t>
      </w:r>
      <w:hyperlink w:anchor="tbl-Mmat_fits">
        <w:r>
          <w:rPr>
            <w:rStyle w:val="Hyperlink"/>
          </w:rPr>
          <w:t xml:space="preserve">Table 8</w:t>
        </w:r>
      </w:hyperlink>
      <w:r>
        <w:t xml:space="preserve">). Results from the</w:t>
      </w:r>
      <w:r>
        <w:t xml:space="preserve"> </w:t>
      </w:r>
      <w:r>
        <w:t xml:space="preserve">Urmy, Ressler, and De Robertis (2025)</w:t>
      </w:r>
      <w:r>
        <w:t xml:space="preserve"> </w:t>
      </w:r>
      <w:r>
        <w:t xml:space="preserve">had minor impact on</w:t>
      </w:r>
      <w:r>
        <w:t xml:space="preserve"> </w:t>
      </w:r>
      <w:r>
        <w:t xml:space="preserve">management-related quantities whereas those with the alternative natural mortality</w:t>
      </w:r>
      <w:r>
        <w:t xml:space="preserve"> </w:t>
      </w:r>
      <w:r>
        <w:t xml:space="preserve">specification differed in a number of ways (</w:t>
      </w:r>
      <w:hyperlink w:anchor="tbl-Mmat_ref">
        <w:r>
          <w:rPr>
            <w:rStyle w:val="Hyperlink"/>
          </w:rPr>
          <w:t xml:space="preserve">Table 9</w:t>
        </w:r>
      </w:hyperlink>
      <w:r>
        <w:t xml:space="preserve">). The most notable difference</w:t>
      </w:r>
      <w:r>
        <w:t xml:space="preserve"> </w:t>
      </w:r>
      <w:r>
        <w:t xml:space="preserve">was the estimated</w:t>
      </w:r>
      <w:r>
        <w:t xml:space="preserve"> </w:t>
      </w:r>
      <m:oMath>
        <m:sSub>
          <m:e>
            <m:r>
              <m:t>B</m:t>
            </m:r>
          </m:e>
          <m:sub>
            <m:r>
              <m:t>M</m:t>
            </m:r>
            <m:r>
              <m:t>S</m:t>
            </m:r>
            <m:r>
              <m:t>Y</m:t>
            </m:r>
          </m:sub>
        </m:sSub>
      </m:oMath>
      <w:r>
        <w:t xml:space="preserve"> </w:t>
      </w:r>
      <w:r>
        <w:t xml:space="preserve">and</w:t>
      </w:r>
      <w:r>
        <w:t xml:space="preserve"> </w:t>
      </w:r>
      <m:oMath>
        <m:sSub>
          <m:e>
            <m:r>
              <m:t>B</m:t>
            </m:r>
          </m:e>
          <m:sub>
            <m:r>
              <m:t>35</m:t>
            </m:r>
            <m:r>
              <m:rPr>
                <m:sty m:val="p"/>
              </m:rPr>
              <m:t>%</m:t>
            </m:r>
          </m:sub>
        </m:sSub>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114" w:name="fig-urmy_ats"/>
          <w:p>
            <w:pPr>
              <w:pStyle w:val="Compact"/>
              <w:jc w:val="center"/>
            </w:pPr>
            <w:r>
              <w:drawing>
                <wp:inline>
                  <wp:extent cx="5334000" cy="4267200"/>
                  <wp:effectExtent b="0" l="0" r="0" t="0"/>
                  <wp:docPr descr="" title="" id="112" name="Picture"/>
                  <a:graphic>
                    <a:graphicData uri="http://schemas.openxmlformats.org/drawingml/2006/picture">
                      <pic:pic>
                        <pic:nvPicPr>
                          <pic:cNvPr descr="CIE_files/figure-docx/fig-urmy_ats-1.png" id="113" name="Picture"/>
                          <pic:cNvPicPr>
                            <a:picLocks noChangeArrowheads="1" noChangeAspect="1"/>
                          </pic:cNvPicPr>
                        </pic:nvPicPr>
                        <pic:blipFill>
                          <a:blip r:embed="rId1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Comparison of fits to the Eastern Bering Sea acoustic-Trawl Survey (ATS) biomass index for the accepted 2024 model and one with revised estimates of index values and uncertainty from Urmy et al., (in prep).</w:t>
            </w:r>
          </w:p>
          <w:bookmarkEnd w:id="114"/>
        </w:tc>
      </w:tr>
    </w:tbl>
    <w:tbl>
      <w:tblPr>
        <w:tblStyle w:val="Table"/>
        <w:tblW w:type="pct" w:w="5000"/>
        <w:tblLayout w:type="fixed"/>
        <w:tblLook w:firstRow="0" w:lastRow="0" w:firstColumn="0" w:lastColumn="0" w:noHBand="0" w:noVBand="0" w:val="0000"/>
      </w:tblPr>
      <w:tblGrid>
        <w:gridCol w:w="7920"/>
      </w:tblGrid>
      <w:tr>
        <w:tc>
          <w:tcPr/>
          <w:bookmarkStart w:id="115" w:name="tbl-Mmat_fits"/>
          <w:p>
            <w:pPr>
              <w:jc w:val="center"/>
            </w:pPr>
            <w:pPr>
              <w:jc w:val="start"/>
              <w:spacing w:before="200"/>
              <w:pStyle w:val="ImageCaption"/>
            </w:pPr>
            <w:r>
              <w:t xml:space="preserve">Table 8: Goodness-of-fit measures to primary data for model sensitivity to applying the matrix of M-at-age and year and acoustic uncertainty estimates.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735</w:t>
                  </w:r>
                </w:p>
              </w:tc>
            </w:tr>
          </w:tbl>
          <w:bookmarkEnd w:id="115"/>
        </w:tc>
      </w:tr>
    </w:tbl>
    <w:tbl>
      <w:tblPr>
        <w:tblStyle w:val="Table"/>
        <w:tblW w:type="pct" w:w="5000"/>
        <w:tblLayout w:type="fixed"/>
        <w:tblLook w:firstRow="0" w:lastRow="0" w:firstColumn="0" w:lastColumn="0" w:noHBand="0" w:noVBand="0" w:val="0000"/>
      </w:tblPr>
      <w:tblGrid>
        <w:gridCol w:w="7920"/>
      </w:tblGrid>
      <w:tr>
        <w:tc>
          <w:tcPr/>
          <w:bookmarkStart w:id="116" w:name="tbl-Mmat_ref"/>
          <w:p>
            <w:pPr>
              <w:jc w:val="center"/>
            </w:pPr>
            <w:pPr>
              <w:jc w:val="start"/>
              <w:spacing w:before="200"/>
              <w:pStyle w:val="ImageCaption"/>
            </w:pPr>
            <w:r>
              <w:t xml:space="preserve">Table 9: Estimated derived quantities and selected corresponding CVs for sensitivity to natural mortality specification and acoustic uncertainty estimates.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Use CEATTLE 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Urmy 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r>
          </w:tbl>
          <w:bookmarkEnd w:id="116"/>
        </w:tc>
      </w:tr>
    </w:tbl>
    <w:bookmarkEnd w:id="117"/>
    <w:bookmarkEnd w:id="118"/>
    <w:bookmarkStart w:id="187" w:name="sec-altsoft"/>
    <w:p>
      <w:pPr>
        <w:pStyle w:val="Heading1"/>
      </w:pPr>
      <w:r>
        <w:t xml:space="preserve">Alternative assessment software</w:t>
      </w:r>
    </w:p>
    <w:bookmarkStart w:id="143"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21</w:t>
        </w:r>
      </w:hyperlink>
      <w:r>
        <w:t xml:space="preserve">). These showed the impact on the uncertainty and stock trends</w:t>
      </w:r>
      <w:r>
        <w:t xml:space="preserve"> </w:t>
      </w:r>
      <w:r>
        <w:t xml:space="preserve">(</w:t>
      </w:r>
      <w:hyperlink w:anchor="fig-synts-1">
        <w:r>
          <w:rPr>
            <w:rStyle w:val="Hyperlink"/>
          </w:rPr>
          <w:t xml:space="preserve">Figure 22</w:t>
        </w:r>
      </w:hyperlink>
      <w:r>
        <w:t xml:space="preserve"> </w:t>
      </w:r>
      <w:r>
        <w:t xml:space="preserve">for SSB and</w:t>
      </w:r>
      <w:r>
        <w:t xml:space="preserve"> </w:t>
      </w:r>
      <w:hyperlink w:anchor="fig-synts-2">
        <w:r>
          <w:rPr>
            <w:rStyle w:val="Hyperlink"/>
          </w:rPr>
          <w:t xml:space="preserve">Figure 23</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22" w:name="fig-ss3"/>
          <w:p>
            <w:pPr>
              <w:pStyle w:val="Compact"/>
              <w:jc w:val="center"/>
            </w:pPr>
            <w:r>
              <w:drawing>
                <wp:inline>
                  <wp:extent cx="5334000" cy="4267200"/>
                  <wp:effectExtent b="0" l="0" r="0" t="0"/>
                  <wp:docPr descr="" title="" id="120" name="Picture"/>
                  <a:graphic>
                    <a:graphicData uri="http://schemas.openxmlformats.org/drawingml/2006/picture">
                      <pic:pic>
                        <pic:nvPicPr>
                          <pic:cNvPr descr="CIE_files/figure-docx/fig-ss3-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three different SS3 model configurations. The models are the base model (Base), the constrained model (Constrained), and the flexible model (Flexible).</w:t>
            </w:r>
          </w:p>
          <w:bookmarkEnd w:id="122"/>
        </w:tc>
      </w:tr>
    </w:tbl>
    <w:tbl>
      <w:tblPr>
        <w:tblStyle w:val="Table"/>
        <w:tblW w:type="pct" w:w="5000"/>
        <w:tblLayout w:type="fixed"/>
        <w:tblLook w:firstRow="0" w:lastRow="0" w:firstColumn="0" w:lastColumn="0" w:noHBand="0" w:noVBand="0" w:val="0000"/>
      </w:tblPr>
      <w:tblGrid>
        <w:gridCol w:w="7920"/>
      </w:tblGrid>
      <w:tr>
        <w:tc>
          <w:tcPr/>
          <w:bookmarkStart w:id="126" w:name="fig-synts-1"/>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ynts-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time-series for three different SS3 model configurations. The models are the base model (Base), the constrained model (Constrained), and the flexible model (Flexible).</w:t>
            </w:r>
          </w:p>
          <w:bookmarkEnd w:id="126"/>
        </w:tc>
      </w:tr>
    </w:tbl>
    <w:tbl>
      <w:tblPr>
        <w:tblStyle w:val="Table"/>
        <w:tblW w:type="pct" w:w="5000"/>
        <w:tblLayout w:type="fixed"/>
        <w:tblLook w:firstRow="0" w:lastRow="0" w:firstColumn="0" w:lastColumn="0" w:noHBand="0" w:noVBand="0" w:val="0000"/>
      </w:tblPr>
      <w:tblGrid>
        <w:gridCol w:w="7920"/>
      </w:tblGrid>
      <w:tr>
        <w:tc>
          <w:tcPr/>
          <w:bookmarkStart w:id="130" w:name="fig-synts-2"/>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ynts-2.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the time-series for three different SS3 model configurations. The models are the base model (Base), the constrained model (Constrained), and the flexible model (Flexible).</w:t>
            </w:r>
          </w:p>
          <w:bookmarkEnd w:id="130"/>
        </w:tc>
      </w:tr>
    </w:tbl>
    <w:p>
      <w:pPr>
        <w:pStyle w:val="BodyText"/>
      </w:pPr>
      <w:r>
        <w:t xml:space="preserve">Comparing the</w:t>
      </w:r>
      <w:r>
        <w:t xml:space="preserve"> </w:t>
      </w:r>
      <w:r>
        <w:t xml:space="preserve">“base”</w:t>
      </w:r>
      <w:r>
        <w:t xml:space="preserve"> </w:t>
      </w:r>
      <w:r>
        <w:t xml:space="preserve">SS3 model with the pollock model showed different patterns in the</w:t>
      </w:r>
      <w:r>
        <w:t xml:space="preserve"> </w:t>
      </w:r>
      <w:r>
        <w:t xml:space="preserve">early periods for selectivity (</w:t>
      </w:r>
      <w:hyperlink w:anchor="fig-ss3vpmsel">
        <w:r>
          <w:rPr>
            <w:rStyle w:val="Hyperlink"/>
          </w:rPr>
          <w:t xml:space="preserve">Figure 24</w:t>
        </w:r>
      </w:hyperlink>
      <w:r>
        <w:t xml:space="preserve">) but slight differences in SSB and</w:t>
      </w:r>
      <w:r>
        <w:t xml:space="preserve"> </w:t>
      </w:r>
      <w:r>
        <w:t xml:space="preserve">recruitment estimates (</w:t>
      </w:r>
      <w:hyperlink w:anchor="fig-pmvss3-1">
        <w:r>
          <w:rPr>
            <w:rStyle w:val="Hyperlink"/>
          </w:rPr>
          <w:t xml:space="preserve">Figure 25</w:t>
        </w:r>
      </w:hyperlink>
      <w:r>
        <w:t xml:space="preserve"> </w:t>
      </w:r>
      <w:r>
        <w:t xml:space="preserve">and</w:t>
      </w:r>
      <w:r>
        <w:t xml:space="preserve"> </w:t>
      </w:r>
      <w:hyperlink w:anchor="fig-pmvss3-2">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fig-ss3vpmsel"/>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s3vpmsel-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selectivity estimates between the base SS3 model configuration and the pollock model accepted in 2024.</w:t>
            </w:r>
          </w:p>
          <w:bookmarkEnd w:id="134"/>
        </w:tc>
      </w:tr>
    </w:tbl>
    <w:tbl>
      <w:tblPr>
        <w:tblStyle w:val="Table"/>
        <w:tblW w:type="pct" w:w="5000"/>
        <w:tblLayout w:type="fixed"/>
        <w:tblLook w:firstRow="0" w:lastRow="0" w:firstColumn="0" w:lastColumn="0" w:noHBand="0" w:noVBand="0" w:val="0000"/>
      </w:tblPr>
      <w:tblGrid>
        <w:gridCol w:w="7920"/>
      </w:tblGrid>
      <w:tr>
        <w:tc>
          <w:tcPr/>
          <w:bookmarkStart w:id="138" w:name="fig-pmvss3-1"/>
          <w:p>
            <w:pPr>
              <w:pStyle w:val="Compact"/>
              <w:jc w:val="center"/>
            </w:pPr>
            <w:r>
              <w:drawing>
                <wp:inline>
                  <wp:extent cx="5334000" cy="4267200"/>
                  <wp:effectExtent b="0" l="0" r="0" t="0"/>
                  <wp:docPr descr="" title="" id="136" name="Picture"/>
                  <a:graphic>
                    <a:graphicData uri="http://schemas.openxmlformats.org/drawingml/2006/picture">
                      <pic:pic>
                        <pic:nvPicPr>
                          <pic:cNvPr descr="CIE_files/figure-docx/fig-pmvss3-1.png" id="137" name="Picture"/>
                          <pic:cNvPicPr>
                            <a:picLocks noChangeArrowheads="1" noChangeAspect="1"/>
                          </pic:cNvPicPr>
                        </pic:nvPicPr>
                        <pic:blipFill>
                          <a:blip r:embed="rId13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the base SS3 model configuration with the model used for pollock in 2024.</w:t>
            </w:r>
          </w:p>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pmvss3-2"/>
          <w:p>
            <w:pPr>
              <w:pStyle w:val="Compact"/>
              <w:jc w:val="center"/>
            </w:pPr>
            <w:r>
              <w:drawing>
                <wp:inline>
                  <wp:extent cx="5334000" cy="4267200"/>
                  <wp:effectExtent b="0" l="0" r="0" t="0"/>
                  <wp:docPr descr="" title="" id="140" name="Picture"/>
                  <a:graphic>
                    <a:graphicData uri="http://schemas.openxmlformats.org/drawingml/2006/picture">
                      <pic:pic>
                        <pic:nvPicPr>
                          <pic:cNvPr descr="CIE_files/figure-docx/fig-pmvss3-2.png" id="141" name="Picture"/>
                          <pic:cNvPicPr>
                            <a:picLocks noChangeArrowheads="1" noChangeAspect="1"/>
                          </pic:cNvPicPr>
                        </pic:nvPicPr>
                        <pic:blipFill>
                          <a:blip r:embed="rId1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the base SS3 model configuration with the model used for pollock in 2024.</w:t>
            </w:r>
          </w:p>
          <w:bookmarkEnd w:id="142"/>
        </w:tc>
      </w:tr>
    </w:tbl>
    <w:bookmarkEnd w:id="143"/>
    <w:bookmarkStart w:id="158"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44">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27</w:t>
        </w:r>
      </w:hyperlink>
      <w:r>
        <w:t xml:space="preserve">).</w:t>
      </w:r>
      <w:r>
        <w:t xml:space="preserve"> </w:t>
      </w:r>
      <w:r>
        <w:t xml:space="preserve">The spawning biomass trend largely overlaps in the uncertainty between the SAM and pollock</w:t>
      </w:r>
      <w:r>
        <w:t xml:space="preserve"> </w:t>
      </w:r>
      <w:r>
        <w:t xml:space="preserve">model (</w:t>
      </w:r>
      <w:hyperlink w:anchor="fig-samts-1">
        <w:r>
          <w:rPr>
            <w:rStyle w:val="Hyperlink"/>
          </w:rPr>
          <w:t xml:space="preserve">Figure 28 (a)</w:t>
        </w:r>
      </w:hyperlink>
      <w:r>
        <w:t xml:space="preserve">). The recruitment estimates are similar as well (</w:t>
      </w:r>
      <w:hyperlink w:anchor="fig-samts-2">
        <w:r>
          <w:rPr>
            <w:rStyle w:val="Hyperlink"/>
          </w:rPr>
          <w:t xml:space="preserve">Figure 28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8" w:name="fig-sam"/>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sam-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SAM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7" w:name="fig-samts"/>
          <w:tbl>
            <w:tblPr>
              <w:tblStyle w:val="Table"/>
              <w:tblW w:type="pct" w:w="5000"/>
              <w:tblLayout w:type="fixed"/>
              <w:tblLook w:firstRow="0" w:lastRow="0" w:firstColumn="0" w:lastColumn="0" w:noHBand="0" w:noVBand="0" w:val="0000"/>
            </w:tblPr>
            <w:tblGrid>
              <w:gridCol w:w="7920"/>
            </w:tblGrid>
            <w:tr>
              <w:tc>
                <w:tcPr/>
                <w:bookmarkStart w:id="152" w:name="fig-samts-1"/>
                <w:p>
                  <w:pPr>
                    <w:pStyle w:val="Compact"/>
                    <w:jc w:val="center"/>
                    <w:jc w:val="center"/>
                  </w:pPr>
                  <w:r>
                    <w:drawing>
                      <wp:inline>
                        <wp:extent cx="5334000" cy="4000500"/>
                        <wp:effectExtent b="0" l="0" r="0" t="0"/>
                        <wp:docPr descr="" title="" id="150" name="Picture"/>
                        <a:graphic>
                          <a:graphicData uri="http://schemas.openxmlformats.org/drawingml/2006/picture">
                            <pic:pic>
                              <pic:nvPicPr>
                                <pic:cNvPr descr="CIE_files/figure-docx/fig-samts-1.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(a) Spawning biomass comparison of the 2024 assessment and SAM estimates.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samts-2"/>
                <w:p>
                  <w:pPr>
                    <w:pStyle w:val="Compact"/>
                    <w:jc w:val="center"/>
                    <w:jc w:val="center"/>
                  </w:pPr>
                  <w:r>
                    <w:drawing>
                      <wp:inline>
                        <wp:extent cx="5334000" cy="4000500"/>
                        <wp:effectExtent b="0" l="0" r="0" t="0"/>
                        <wp:docPr descr="" title="" id="154" name="Picture"/>
                        <a:graphic>
                          <a:graphicData uri="http://schemas.openxmlformats.org/drawingml/2006/picture">
                            <pic:pic>
                              <pic:nvPicPr>
                                <pic:cNvPr descr="CIE_files/figure-docx/fig-samts-2.png" id="155" name="Picture"/>
                                <pic:cNvPicPr>
                                  <a:picLocks noChangeArrowheads="1" noChangeAspect="1"/>
                                </pic:cNvPicPr>
                              </pic:nvPicPr>
                              <pic:blipFill>
                                <a:blip r:embed="rId153"/>
                                <a:stretch>
                                  <a:fillRect/>
                                </a:stretch>
                              </pic:blipFill>
                              <pic:spPr bwMode="auto">
                                <a:xfrm>
                                  <a:off x="0" y="0"/>
                                  <a:ext cx="5334000" cy="40005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(b) Age-1 recruitment comparison of the 2024 assessment and SAM estimates.</w:t>
                  </w:r>
                </w:p>
                <w:bookmarkEnd w:id="156"/>
              </w:tc>
            </w:tr>
          </w:tbl>
          <w:p>
            <w:pPr>
              <w:jc w:val="center"/>
            </w:pPr>
            <w:pPr>
              <w:jc w:val="start"/>
              <w:spacing w:before="200"/>
              <w:pStyle w:val="ImageCaption"/>
            </w:pPr>
            <w:r>
              <w:t xml:space="preserve">Figure 28: Model results comparing last year’s model with the SAM model.</w:t>
            </w:r>
          </w:p>
          <w:bookmarkEnd w:id="157"/>
        </w:tc>
      </w:tr>
    </w:tbl>
    <w:bookmarkEnd w:id="158"/>
    <w:bookmarkStart w:id="168"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59">
        <w:r>
          <w:rPr>
            <w:rStyle w:val="Hyperlink"/>
          </w:rPr>
          <w:t xml:space="preserve">github</w:t>
        </w:r>
        <w:r>
          <w:rPr>
            <w:rStyle w:val="Hyperlink"/>
          </w:rPr>
          <w:t xml:space="preserve"> </w:t>
        </w:r>
        <w:r>
          <w:rPr>
            <w:rStyle w:val="Hyperlink"/>
          </w:rPr>
          <w:t xml:space="preserve">repository</w:t>
        </w:r>
      </w:hyperlink>
      <w:r>
        <w:t xml:space="preserve">. We abandoned</w:t>
      </w:r>
      <w:r>
        <w:t xml:space="preserve"> </w:t>
      </w:r>
      <w:r>
        <w:t xml:space="preserve">this effort given difficulties in some aspects of specifications and time constraints.</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flexible enough to</w:t>
      </w:r>
      <w:r>
        <w:t xml:space="preserve"> </w:t>
      </w:r>
      <w:r>
        <w:t xml:space="preserve">include a variety of data types using lengths and can be set up for species tracked for</w:t>
      </w:r>
      <w:r>
        <w:t xml:space="preserve"> </w:t>
      </w:r>
      <w:r>
        <w:t xml:space="preserve">sexually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still under development, but we present</w:t>
      </w:r>
      <w:r>
        <w:t xml:space="preserve"> </w:t>
      </w:r>
      <w:r>
        <w:t xml:space="preserve">preliminary results for consideration. Initial runs are favorable and we were able to have</w:t>
      </w:r>
      <w:r>
        <w:t xml:space="preserve"> </w:t>
      </w:r>
      <w:r>
        <w:t xml:space="preserve">time-varying selectivity treated as fixed-effects (meaning penalty weights pre-specified) but</w:t>
      </w:r>
      <w:r>
        <w:t xml:space="preserve"> </w:t>
      </w:r>
      <w:r>
        <w:t xml:space="preserve">also with them specified as random effects (with the penalty</w:t>
      </w:r>
      <w:r>
        <w:t xml:space="preserve"> </w:t>
      </w:r>
      <w:r>
        <w:t xml:space="preserve">“variances”</w:t>
      </w:r>
      <w:r>
        <w:t xml:space="preserve"> </w:t>
      </w:r>
      <w:r>
        <w:t xml:space="preserve">estimated</w:t>
      </w:r>
      <w:r>
        <w:t xml:space="preserve"> </w:t>
      </w:r>
      <w:r>
        <w:t xml:space="preserve">(</w:t>
      </w:r>
      <w:hyperlink w:anchor="fig-rceattle_sel">
        <w:r>
          <w:rPr>
            <w:rStyle w:val="Hyperlink"/>
          </w:rPr>
          <w:t xml:space="preserve">Figure 29</w:t>
        </w:r>
      </w:hyperlink>
      <w:r>
        <w:t xml:space="preserve">). The model estimates of SSB are similar to the 2024 model</w:t>
      </w:r>
      <w:r>
        <w:t xml:space="preserve"> </w:t>
      </w:r>
      <w:r>
        <w:t xml:space="preserve">but more work is needed to understand where differences remain in the model specification</w:t>
      </w:r>
      <w:r>
        <w:t xml:space="preserve"> </w:t>
      </w:r>
      <w:r>
        <w:t xml:space="preserve">(</w:t>
      </w:r>
      <w:hyperlink w:anchor="fig-rceattle_ts">
        <w:r>
          <w:rPr>
            <w:rStyle w:val="Hyperlink"/>
          </w:rPr>
          <w:t xml:space="preserve">Figure 30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3" w:name="fig-rceattle_sel"/>
          <w:p>
            <w:pPr>
              <w:pStyle w:val="Compact"/>
              <w:jc w:val="center"/>
            </w:pPr>
            <w:r>
              <w:drawing>
                <wp:inline>
                  <wp:extent cx="5334000" cy="9601200"/>
                  <wp:effectExtent b="0" l="0" r="0" t="0"/>
                  <wp:docPr descr="" title="" id="161" name="Picture"/>
                  <a:graphic>
                    <a:graphicData uri="http://schemas.openxmlformats.org/drawingml/2006/picture">
                      <pic:pic>
                        <pic:nvPicPr>
                          <pic:cNvPr descr="CIE_files/figure-docx/fig-rceattle_sel-1.png" id="162" name="Picture"/>
                          <pic:cNvPicPr>
                            <a:picLocks noChangeArrowheads="1" noChangeAspect="1"/>
                          </pic:cNvPicPr>
                        </pic:nvPicPr>
                        <pic:blipFill>
                          <a:blip r:embed="rId160"/>
                          <a:stretch>
                            <a:fillRect/>
                          </a:stretch>
                        </pic:blipFill>
                        <pic:spPr bwMode="auto">
                          <a:xfrm>
                            <a:off x="0" y="0"/>
                            <a:ext cx="5334000" cy="9601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selectivity estimates comparing last year’s model with the Rceattle model with fixed-effect time varying fishery selectivity (CEA, FE) and random effects (CEA, RE).</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rceattle_ts"/>
          <w:p>
            <w:pPr>
              <w:pStyle w:val="Compact"/>
              <w:jc w:val="center"/>
            </w:pPr>
            <w:r>
              <w:drawing>
                <wp:inline>
                  <wp:extent cx="5334000" cy="3556000"/>
                  <wp:effectExtent b="0" l="0" r="0" t="0"/>
                  <wp:docPr descr="" title="" id="165" name="Picture"/>
                  <a:graphic>
                    <a:graphicData uri="http://schemas.openxmlformats.org/drawingml/2006/picture">
                      <pic:pic>
                        <pic:nvPicPr>
                          <pic:cNvPr descr="CIE_files/figure-docx/fig-rceattle_ts-1.png" id="166" name="Picture"/>
                          <pic:cNvPicPr>
                            <a:picLocks noChangeArrowheads="1" noChangeAspect="1"/>
                          </pic:cNvPicPr>
                        </pic:nvPicPr>
                        <pic:blipFill>
                          <a:blip r:embed="rId1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estimates of spawning biomass (SSB) comparing last year’s model with the Rceattle model with fixed-effect time varying fishery selectivity (CEA, FE) and random effects (CEA, RE).</w:t>
            </w:r>
          </w:p>
          <w:bookmarkEnd w:id="167"/>
        </w:tc>
      </w:tr>
    </w:tbl>
    <w:bookmarkEnd w:id="168"/>
    <w:bookmarkStart w:id="186"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elspock">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w:t>
      </w:r>
      <w:r>
        <w:t xml:space="preserve"> </w:t>
      </w:r>
      <w:r>
        <w:t xml:space="preserve">(</w:t>
      </w:r>
      <w:hyperlink w:anchor="fig-spock_ts-2">
        <w:r>
          <w:rPr>
            <w:rStyle w:val="Hyperlink"/>
          </w:rPr>
          <w:t xml:space="preserve">Figure 33</w:t>
        </w:r>
      </w:hyperlink>
      <w:r>
        <w:t xml:space="preserve">) is likely due to the fact that the spatial model currently has constant</w:t>
      </w:r>
      <w:r>
        <w:t xml:space="preserve"> </w:t>
      </w:r>
      <w:r>
        <w:t xml:space="preserve">M-at-age compared to the base model.</w:t>
      </w:r>
    </w:p>
    <w:tbl>
      <w:tblPr>
        <w:tblStyle w:val="Table"/>
        <w:tblW w:type="pct" w:w="5000"/>
        <w:tblLayout w:type="fixed"/>
        <w:tblLook w:firstRow="0" w:lastRow="0" w:firstColumn="0" w:lastColumn="0" w:noHBand="0" w:noVBand="0" w:val="0000"/>
      </w:tblPr>
      <w:tblGrid>
        <w:gridCol w:w="7920"/>
      </w:tblGrid>
      <w:tr>
        <w:tc>
          <w:tcPr/>
          <w:bookmarkStart w:id="177" w:name="fig-selspock"/>
          <w:tbl>
            <w:tblPr>
              <w:tblStyle w:val="Table"/>
              <w:tblW w:type="pct" w:w="5000"/>
              <w:tblLayout w:type="fixed"/>
              <w:tblLook w:firstRow="0" w:lastRow="0" w:firstColumn="0" w:lastColumn="0" w:noHBand="0" w:noVBand="0" w:val="0000"/>
            </w:tblPr>
            <w:tblGrid>
              <w:gridCol w:w="7920"/>
            </w:tblGrid>
            <w:tr>
              <w:tc>
                <w:tcPr/>
                <w:bookmarkStart w:id="172" w:name="fig-selspock-1"/>
                <w:p>
                  <w:pPr>
                    <w:pStyle w:val="Compact"/>
                    <w:jc w:val="center"/>
                    <w:jc w:val="center"/>
                  </w:pPr>
                  <w:r>
                    <w:drawing>
                      <wp:inline>
                        <wp:extent cx="5334000" cy="4267200"/>
                        <wp:effectExtent b="0" l="0" r="0" t="0"/>
                        <wp:docPr descr="" title="" id="170" name="Picture"/>
                        <a:graphic>
                          <a:graphicData uri="http://schemas.openxmlformats.org/drawingml/2006/picture">
                            <pic:pic>
                              <pic:nvPicPr>
                                <pic:cNvPr descr="CIE_files/figure-docx/fig-selspock-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(a) Model estimates of selectivity comparing last year’s model with the SPock model.</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selspock-2"/>
                <w:p>
                  <w:pPr>
                    <w:pStyle w:val="Compact"/>
                    <w:jc w:val="center"/>
                    <w:jc w:val="center"/>
                  </w:pPr>
                  <w:r>
                    <w:drawing>
                      <wp:inline>
                        <wp:extent cx="5334000" cy="4267200"/>
                        <wp:effectExtent b="0" l="0" r="0" t="0"/>
                        <wp:docPr descr="" title="" id="174" name="Picture"/>
                        <a:graphic>
                          <a:graphicData uri="http://schemas.openxmlformats.org/drawingml/2006/picture">
                            <pic:pic>
                              <pic:nvPicPr>
                                <pic:cNvPr descr="CIE_files/figure-docx/fig-selspock-2.png" id="175" name="Picture"/>
                                <pic:cNvPicPr>
                                  <a:picLocks noChangeArrowheads="1" noChangeAspect="1"/>
                                </pic:cNvPicPr>
                              </pic:nvPicPr>
                              <pic:blipFill>
                                <a:blip r:embed="rId173"/>
                                <a:stretch>
                                  <a:fillRect/>
                                </a:stretch>
                              </pic:blipFill>
                              <pic:spPr bwMode="auto">
                                <a:xfrm>
                                  <a:off x="0" y="0"/>
                                  <a:ext cx="5334000" cy="4267200"/>
                                </a:xfrm>
                                <a:prstGeom prst="rect">
                                  <a:avLst/>
                                </a:prstGeom>
                                <a:noFill/>
                                <a:ln w="9525">
                                  <a:noFill/>
                                  <a:headEnd/>
                                  <a:tailEnd/>
                                </a:ln>
                              </pic:spPr>
                            </pic:pic>
                          </a:graphicData>
                        </a:graphic>
                      </wp:inline>
                    </w:drawing>
                  </w:r>
                </w:p>
                <w:p>
                  <w:pPr>
                    <w:jc w:val="center"/>
                    <w:jc w:val="center"/>
                  </w:pPr>
                  <w:pPr>
                    <w:jc w:val="start"/>
                    <w:spacing w:before="200"/>
                    <w:pStyle w:val="ImageCaption"/>
                  </w:pPr>
                  <w:r>
                    <w:t xml:space="preserve">(b) Model estimates of selectivity comparing last year’s model with the SPock model.</w:t>
                  </w:r>
                </w:p>
                <w:bookmarkEnd w:id="176"/>
              </w:tc>
            </w:tr>
          </w:tbl>
          <w:p>
            <w:pPr>
              <w:jc w:val="center"/>
            </w:pPr>
            <w:pPr>
              <w:jc w:val="start"/>
              <w:spacing w:before="200"/>
              <w:pStyle w:val="ImageCaption"/>
            </w:pPr>
            <w:r>
              <w:t xml:space="preserve">Figure 31: Model estimates of selectivity comparing last year’s model with the SPock model.</w:t>
            </w:r>
          </w:p>
          <w:bookmarkEnd w:id="177"/>
        </w:tc>
      </w:tr>
    </w:tbl>
    <w:tbl>
      <w:tblPr>
        <w:tblStyle w:val="Table"/>
        <w:tblW w:type="pct" w:w="5000"/>
        <w:tblLayout w:type="fixed"/>
        <w:tblLook w:firstRow="0" w:lastRow="0" w:firstColumn="0" w:lastColumn="0" w:noHBand="0" w:noVBand="0" w:val="0000"/>
      </w:tblPr>
      <w:tblGrid>
        <w:gridCol w:w="7920"/>
      </w:tblGrid>
      <w:tr>
        <w:tc>
          <w:tcPr/>
          <w:bookmarkStart w:id="181" w:name="fig-spock_ts-1"/>
          <w:p>
            <w:pPr>
              <w:pStyle w:val="Compact"/>
              <w:jc w:val="center"/>
            </w:pPr>
            <w:r>
              <w:drawing>
                <wp:inline>
                  <wp:extent cx="5334000" cy="2667000"/>
                  <wp:effectExtent b="0" l="0" r="0" t="0"/>
                  <wp:docPr descr="" title="" id="179" name="Picture"/>
                  <a:graphic>
                    <a:graphicData uri="http://schemas.openxmlformats.org/drawingml/2006/picture">
                      <pic:pic>
                        <pic:nvPicPr>
                          <pic:cNvPr descr="CIE_files/figure-docx/fig-spock_ts-1.png" id="180" name="Picture"/>
                          <pic:cNvPicPr>
                            <a:picLocks noChangeArrowheads="1" noChangeAspect="1"/>
                          </pic:cNvPicPr>
                        </pic:nvPicPr>
                        <pic:blipFill>
                          <a:blip r:embed="rId1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81"/>
        </w:tc>
      </w:tr>
    </w:tbl>
    <w:tbl>
      <w:tblPr>
        <w:tblStyle w:val="Table"/>
        <w:tblW w:type="pct" w:w="5000"/>
        <w:tblLayout w:type="fixed"/>
        <w:tblLook w:firstRow="0" w:lastRow="0" w:firstColumn="0" w:lastColumn="0" w:noHBand="0" w:noVBand="0" w:val="0000"/>
      </w:tblPr>
      <w:tblGrid>
        <w:gridCol w:w="7920"/>
      </w:tblGrid>
      <w:tr>
        <w:tc>
          <w:tcPr/>
          <w:bookmarkStart w:id="185" w:name="fig-spock_ts-2"/>
          <w:p>
            <w:pPr>
              <w:pStyle w:val="Compact"/>
              <w:jc w:val="center"/>
            </w:pPr>
            <w:r>
              <w:drawing>
                <wp:inline>
                  <wp:extent cx="5334000" cy="2667000"/>
                  <wp:effectExtent b="0" l="0" r="0" t="0"/>
                  <wp:docPr descr="" title="" id="183" name="Picture"/>
                  <a:graphic>
                    <a:graphicData uri="http://schemas.openxmlformats.org/drawingml/2006/picture">
                      <pic:pic>
                        <pic:nvPicPr>
                          <pic:cNvPr descr="CIE_files/figure-docx/fig-spock_ts-2.png" id="184" name="Picture"/>
                          <pic:cNvPicPr>
                            <a:picLocks noChangeArrowheads="1" noChangeAspect="1"/>
                          </pic:cNvPicPr>
                        </pic:nvPicPr>
                        <pic:blipFill>
                          <a:blip r:embed="rId1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85"/>
        </w:tc>
      </w:tr>
    </w:tbl>
    <w:bookmarkEnd w:id="186"/>
    <w:bookmarkEnd w:id="187"/>
    <w:bookmarkStart w:id="198" w:name="sec-btsmodel"/>
    <w:p>
      <w:pPr>
        <w:pStyle w:val="Heading1"/>
      </w:pPr>
      <w:r>
        <w:t xml:space="preserve">Bottom-trawl survey spatial distribution modeling</w:t>
      </w:r>
    </w:p>
    <w:bookmarkStart w:id="192"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2"/>
        </w:numPr>
      </w:pPr>
      <w:r>
        <w:t xml:space="preserve">Exploratory northern extension samples in 2001, 2005, and 2006</w:t>
      </w:r>
    </w:p>
    <w:p>
      <w:pPr>
        <w:pStyle w:val="Compact"/>
        <w:numPr>
          <w:ilvl w:val="0"/>
          <w:numId w:val="1002"/>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 Results compared favorably among methods, and the</w:t>
      </w:r>
      <w:r>
        <w:t xml:space="preserve"> </w:t>
      </w:r>
      <w:r>
        <w:t xml:space="preserve">model index result was very similar to previous estimates (</w:t>
      </w:r>
      <w:hyperlink w:anchor="fig-sdm_index">
        <w:r>
          <w:rPr>
            <w:rStyle w:val="Hyperlink"/>
          </w:rPr>
          <w:t xml:space="preserve">Figure 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1" w:name="fig-sdm_index"/>
          <w:p>
            <w:pPr>
              <w:pStyle w:val="Compact"/>
              <w:jc w:val="center"/>
            </w:pPr>
            <w:r>
              <w:drawing>
                <wp:inline>
                  <wp:extent cx="5334000" cy="3578794"/>
                  <wp:effectExtent b="0" l="0" r="0" t="0"/>
                  <wp:docPr descr="" title="" id="189" name="Picture"/>
                  <a:graphic>
                    <a:graphicData uri="http://schemas.openxmlformats.org/drawingml/2006/picture">
                      <pic:pic>
                        <pic:nvPicPr>
                          <pic:cNvPr descr="figs/Vast_index_updated.png" id="190" name="Picture"/>
                          <pic:cNvPicPr>
                            <a:picLocks noChangeArrowheads="1" noChangeAspect="1"/>
                          </pic:cNvPicPr>
                        </pic:nvPicPr>
                        <pic:blipFill>
                          <a:blip r:embed="rId188"/>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91"/>
        </w:tc>
      </w:tr>
    </w:tbl>
    <w:bookmarkEnd w:id="192"/>
    <w:bookmarkStart w:id="197"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96" w:name="fig-sdm_age"/>
          <w:p>
            <w:pPr>
              <w:pStyle w:val="Compact"/>
              <w:jc w:val="center"/>
            </w:pPr>
            <w:r>
              <w:drawing>
                <wp:inline>
                  <wp:extent cx="5334000" cy="4798793"/>
                  <wp:effectExtent b="0" l="0" r="0" t="0"/>
                  <wp:docPr descr="" title="" id="194" name="Picture"/>
                  <a:graphic>
                    <a:graphicData uri="http://schemas.openxmlformats.org/drawingml/2006/picture">
                      <pic:pic>
                        <pic:nvPicPr>
                          <pic:cNvPr descr="figs/VAST_Age_Compare.png" id="195" name="Picture"/>
                          <pic:cNvPicPr>
                            <a:picLocks noChangeArrowheads="1" noChangeAspect="1"/>
                          </pic:cNvPicPr>
                        </pic:nvPicPr>
                        <pic:blipFill>
                          <a:blip r:embed="rId193"/>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96"/>
        </w:tc>
      </w:tr>
    </w:tbl>
    <w:bookmarkEnd w:id="197"/>
    <w:bookmarkEnd w:id="198"/>
    <w:bookmarkStart w:id="209" w:name="sec-selnotes"/>
    <w:p>
      <w:pPr>
        <w:pStyle w:val="Heading1"/>
      </w:pPr>
      <w:r>
        <w:t xml:space="preserve">Pollock model fishery selectivity notes</w:t>
      </w:r>
    </w:p>
    <w:p>
      <w:pPr>
        <w:pStyle w:val="FirstParagraph"/>
      </w:pPr>
      <w:r>
        <w:t xml:space="preserve">The following provides more detail based on the actual code as adopted from</w:t>
      </w:r>
      <w:r>
        <w:t xml:space="preserve"> </w:t>
      </w:r>
      <w:r>
        <w:t xml:space="preserve">Butterworth, Ianelli, and Hilborn (2003)</w:t>
      </w:r>
      <w:r>
        <w:t xml:space="preserve">.</w:t>
      </w:r>
      <w:r>
        <w:t xml:space="preserve"> </w:t>
      </w:r>
      <w:r>
        <w:t xml:space="preserve">During the CIE review this came up as a point of clarification and we provide the details here for reference.</w:t>
      </w:r>
    </w:p>
    <w:bookmarkStart w:id="202" w:name="initial-setup"/>
    <w:p>
      <w:pPr>
        <w:pStyle w:val="Heading2"/>
      </w:pPr>
      <w:r>
        <w:t xml:space="preserve">Initial Setup</w:t>
      </w:r>
    </w:p>
    <w:bookmarkStart w:id="199" w:name="average-selectivity"/>
    <w:p>
      <w:pPr>
        <w:pStyle w:val="Heading3"/>
      </w:pPr>
      <w:r>
        <w:t xml:space="preserve">Average Selectivity</w:t>
      </w:r>
    </w:p>
    <w:p>
      <w:pPr>
        <w:pStyle w:val="FirstParagraph"/>
      </w:pPr>
      <m:oMathPara>
        <m:oMathParaPr>
          <m:jc m:val="center"/>
        </m:oMathParaPr>
        <m:oMath>
          <m:bar>
            <m:barPr>
              <m:pos m:val="top"/>
            </m:barPr>
            <m:e>
              <m:r>
                <m:t>s</m:t>
              </m:r>
              <m:r>
                <m:t>e</m:t>
              </m:r>
              <m:r>
                <m:t>l</m:t>
              </m:r>
            </m:e>
          </m:bar>
          <m:r>
            <m:rPr>
              <m:sty m:val="p"/>
            </m:rPr>
            <m:t>=</m:t>
          </m:r>
          <m:r>
            <m:rPr>
              <m:sty m:val="p"/>
            </m:rPr>
            <m:t>log</m:t>
          </m:r>
          <m:d>
            <m:dPr>
              <m:begChr m:val="("/>
              <m:sepChr m:val=""/>
              <m:endChr m:val=")"/>
              <m:grow/>
            </m:dPr>
            <m:e>
              <m:r>
                <m:rPr>
                  <m:nor/>
                  <m:sty m:val="p"/>
                </m:rPr>
                <m:t>mean</m:t>
              </m:r>
              <m:d>
                <m:dPr>
                  <m:begChr m:val="("/>
                  <m:sepChr m:val=""/>
                  <m:endChr m:val=")"/>
                  <m:grow/>
                </m:dPr>
                <m:e>
                  <m:r>
                    <m:rPr>
                      <m:sty m:val="p"/>
                    </m:rPr>
                    <m:t>exp</m:t>
                  </m:r>
                  <m:d>
                    <m:dPr>
                      <m:begChr m:val="("/>
                      <m:sepChr m:val=""/>
                      <m:endChr m:val=")"/>
                      <m:grow/>
                    </m:dPr>
                    <m:e>
                      <m:r>
                        <m:rPr>
                          <m:sty m:val="b"/>
                        </m:rPr>
                        <m:t>c</m:t>
                      </m:r>
                    </m:e>
                  </m:d>
                </m:e>
              </m:d>
            </m:e>
          </m:d>
        </m:oMath>
      </m:oMathPara>
    </w:p>
    <w:p>
      <w:pPr>
        <w:pStyle w:val="FirstParagraph"/>
      </w:pPr>
      <w:r>
        <w:t xml:space="preserve">where</w:t>
      </w:r>
      <w:r>
        <w:t xml:space="preserve"> </w:t>
      </w:r>
      <m:oMath>
        <m:r>
          <m:rPr>
            <m:sty m:val="b"/>
          </m:rPr>
          <m:t>c</m:t>
        </m:r>
      </m:oMath>
      <w:r>
        <w:t xml:space="preserve"> </w:t>
      </w:r>
      <w:r>
        <w:t xml:space="preserve">is the vector of base selectivity coefficients.</w:t>
      </w:r>
    </w:p>
    <w:bookmarkEnd w:id="199"/>
    <w:bookmarkStart w:id="200" w:name="base-year-selectivity-t-stsel"/>
    <w:p>
      <w:pPr>
        <w:pStyle w:val="Heading3"/>
      </w:pPr>
      <w:r>
        <w:t xml:space="preserve">Base Year Selectivity (t = stsel)</w:t>
      </w:r>
    </w:p>
    <w:p>
      <w:pPr>
        <w:pStyle w:val="FirstParagraph"/>
      </w:pPr>
      <w:r>
        <w:t xml:space="preserve">For 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t xml:space="preserve">For older ages (plateau assumption):</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sSub>
            <m:e>
              <m:r>
                <m:t>c</m:t>
              </m:r>
            </m:e>
            <m:sub>
              <m:r>
                <m:t>n</m:t>
              </m:r>
              <m:r>
                <m:t>s</m:t>
              </m:r>
              <m:r>
                <m:t>e</m:t>
              </m:r>
              <m:r>
                <m:t>l</m:t>
              </m:r>
            </m:sub>
          </m:sSub>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bookmarkEnd w:id="200"/>
    <w:bookmarkStart w:id="201" w:name="initial-normalization"/>
    <w:p>
      <w:pPr>
        <w:pStyle w:val="Heading3"/>
      </w:pPr>
      <w:r>
        <w:t xml:space="preserve">Initial Normalization</w:t>
      </w:r>
    </w:p>
    <w:p>
      <w:pPr>
        <w:pStyle w:val="FirstParagraph"/>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This ensures:</w:t>
      </w:r>
      <w:r>
        <w:t xml:space="preserve"> </w:t>
      </w: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oMath>
    </w:p>
    <w:bookmarkEnd w:id="201"/>
    <w:bookmarkEnd w:id="202"/>
    <w:bookmarkStart w:id="205" w:name="time-varying-component"/>
    <w:p>
      <w:pPr>
        <w:pStyle w:val="Heading2"/>
      </w:pPr>
      <w:r>
        <w:t xml:space="preserve">Time-Varying Component</w:t>
      </w:r>
    </w:p>
    <w:bookmarkStart w:id="203" w:name="selectivity-evolution-t-stsel"/>
    <w:p>
      <w:pPr>
        <w:pStyle w:val="Heading3"/>
      </w:pPr>
      <w:r>
        <w:t xml:space="preserve">Selectivity Evolution (t &gt; stsel)</w:t>
      </w:r>
    </w:p>
    <w:p>
      <w:pPr>
        <w:pStyle w:val="FirstParagraph"/>
      </w:pPr>
      <w:r>
        <w:t xml:space="preserve">For years without regime changes:</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t> </m:t>
          </m:r>
          <m:r>
            <m:rPr>
              <m:nor/>
              <m:sty m:val="p"/>
            </m:rPr>
            <m:t>for all ages</m:t>
          </m:r>
        </m:oMath>
      </m:oMathPara>
    </w:p>
    <w:p>
      <w:pPr>
        <w:pStyle w:val="FirstParagraph"/>
      </w:pPr>
      <w:r>
        <w:t xml:space="preserve">For years with regime changes (when</w:t>
      </w:r>
      <w:r>
        <w:t xml:space="preserve"> </w:t>
      </w:r>
      <m:oMath>
        <m:r>
          <m:t>t</m:t>
        </m:r>
        <m:r>
          <m:rPr>
            <m:sty m:val="p"/>
          </m:rPr>
          <m:t>+</m:t>
        </m:r>
        <m:r>
          <m:t>1</m:t>
        </m:r>
        <m:r>
          <m:rPr>
            <m:sty m:val="p"/>
          </m:rPr>
          <m:t>∈</m:t>
        </m:r>
        <m:r>
          <m:rPr>
            <m:nor/>
            <m:sty m:val="p"/>
          </m:rPr>
          <m:t>yrs_ch_fsh</m:t>
        </m:r>
      </m:oMath>
      <w:r>
        <w:t xml:space="preserve">):</w:t>
      </w:r>
    </w:p>
    <w:p>
      <w:pPr>
        <w:pStyle w:val="BodyText"/>
      </w:pPr>
      <w:r>
        <w:rPr>
          <w:b/>
          <w:bCs/>
        </w:rPr>
        <w:t xml:space="preserve">Ages 1 to nsel:</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sSub>
            <m:e>
              <m:r>
                <m:t>δ</m:t>
              </m:r>
            </m:e>
            <m:sub>
              <m:r>
                <m:t>i</m:t>
              </m:r>
              <m:r>
                <m:t>i</m:t>
              </m:r>
              <m:r>
                <m:rPr>
                  <m:sty m:val="p"/>
                </m:rPr>
                <m:t>,</m:t>
              </m:r>
              <m:r>
                <m:t>a</m:t>
              </m:r>
            </m:sub>
          </m:sSub>
          <m:r>
            <m:t> </m:t>
          </m:r>
          <m:r>
            <m:rPr>
              <m:nor/>
              <m:sty m:val="p"/>
            </m:rPr>
            <m:t>for </m:t>
          </m:r>
          <m:r>
            <m:t>a</m:t>
          </m:r>
          <m:r>
            <m:rPr>
              <m:sty m:val="p"/>
            </m:rPr>
            <m:t>=</m:t>
          </m:r>
          <m:r>
            <m:t>1</m:t>
          </m:r>
          <m:r>
            <m:rPr>
              <m:sty m:val="p"/>
            </m:rPr>
            <m:t>,</m:t>
          </m:r>
          <m:r>
            <m:t>2</m:t>
          </m:r>
          <m:r>
            <m:rPr>
              <m:sty m:val="p"/>
            </m:rPr>
            <m:t>,</m:t>
          </m:r>
          <m:r>
            <m:rPr>
              <m:sty m:val="p"/>
            </m:rPr>
            <m:t>.</m:t>
          </m:r>
          <m:r>
            <m:rPr>
              <m:sty m:val="p"/>
            </m:rPr>
            <m:t>.</m:t>
          </m:r>
          <m:r>
            <m:rPr>
              <m:sty m:val="p"/>
            </m:rPr>
            <m:t>.</m:t>
          </m:r>
          <m:r>
            <m:rPr>
              <m:sty m:val="p"/>
            </m:rPr>
            <m:t>,</m:t>
          </m:r>
          <m:r>
            <m:t>n</m:t>
          </m:r>
          <m:r>
            <m:t>s</m:t>
          </m:r>
          <m:r>
            <m:t>e</m:t>
          </m:r>
          <m:r>
            <m:t>l</m:t>
          </m:r>
        </m:oMath>
      </m:oMathPara>
    </w:p>
    <w:p>
      <w:pPr>
        <w:pStyle w:val="FirstParagraph"/>
      </w:pPr>
      <w:r>
        <w:rPr>
          <w:b/>
          <w:bCs/>
        </w:rPr>
        <w:t xml:space="preserve">Older ages (plateau maintained):</w:t>
      </w:r>
    </w:p>
    <w:p>
      <w:pPr>
        <w:pStyle w:val="BodyText"/>
      </w:pPr>
      <m:oMathPara>
        <m:oMathParaPr>
          <m:jc m:val="center"/>
        </m:oMathParaPr>
        <m:oMath>
          <m:r>
            <m:rPr>
              <m:sty m:val="p"/>
            </m:rPr>
            <m:t>log</m:t>
          </m:r>
          <m:d>
            <m:dPr>
              <m:begChr m:val="("/>
              <m:sepChr m:val=""/>
              <m:endChr m:val=")"/>
              <m:grow/>
            </m:dPr>
            <m:e>
              <m:sSub>
                <m:e>
                  <m:r>
                    <m:t>S</m:t>
                  </m:r>
                </m:e>
                <m:sub>
                  <m:r>
                    <m:t>t</m:t>
                  </m:r>
                  <m:r>
                    <m:rPr>
                      <m:sty m:val="p"/>
                    </m:rPr>
                    <m:t>+</m:t>
                  </m:r>
                  <m:r>
                    <m:t>1</m:t>
                  </m:r>
                  <m:r>
                    <m:rPr>
                      <m:sty m:val="p"/>
                    </m:rPr>
                    <m:t>,</m:t>
                  </m:r>
                  <m:r>
                    <m:t>a</m:t>
                  </m:r>
                </m:sub>
              </m:sSub>
            </m:e>
          </m:d>
          <m:r>
            <m:rPr>
              <m:sty m:val="p"/>
            </m:rPr>
            <m:t>=</m:t>
          </m:r>
          <m:r>
            <m:rPr>
              <m:sty m:val="p"/>
            </m:rPr>
            <m:t>log</m:t>
          </m:r>
          <m:d>
            <m:dPr>
              <m:begChr m:val="("/>
              <m:sepChr m:val=""/>
              <m:endChr m:val=")"/>
              <m:grow/>
            </m:dPr>
            <m:e>
              <m:sSub>
                <m:e>
                  <m:r>
                    <m:t>S</m:t>
                  </m:r>
                </m:e>
                <m:sub>
                  <m:r>
                    <m:t>t</m:t>
                  </m:r>
                  <m:r>
                    <m:rPr>
                      <m:sty m:val="p"/>
                    </m:rPr>
                    <m:t>+</m:t>
                  </m:r>
                  <m:r>
                    <m:t>1</m:t>
                  </m:r>
                  <m:r>
                    <m:rPr>
                      <m:sty m:val="p"/>
                    </m:rPr>
                    <m:t>,</m:t>
                  </m:r>
                  <m:r>
                    <m:t>n</m:t>
                  </m:r>
                  <m:r>
                    <m:t>s</m:t>
                  </m:r>
                  <m:r>
                    <m:t>e</m:t>
                  </m:r>
                  <m:r>
                    <m:t>l</m:t>
                  </m:r>
                </m:sub>
              </m:sSub>
            </m:e>
          </m:d>
          <m:r>
            <m:t> </m:t>
          </m:r>
          <m:r>
            <m:rPr>
              <m:nor/>
              <m:sty m:val="p"/>
            </m:rPr>
            <m:t>for </m:t>
          </m:r>
          <m:r>
            <m:t>a</m:t>
          </m:r>
          <m:r>
            <m:rPr>
              <m:sty m:val="p"/>
            </m:rPr>
            <m:t>=</m:t>
          </m:r>
          <m:r>
            <m:t>n</m:t>
          </m:r>
          <m:r>
            <m:t>s</m:t>
          </m:r>
          <m:r>
            <m:t>e</m:t>
          </m:r>
          <m:r>
            <m:t>l</m:t>
          </m:r>
          <m:r>
            <m:rPr>
              <m:sty m:val="p"/>
            </m:rPr>
            <m:t>+</m:t>
          </m:r>
          <m:r>
            <m:t>1</m:t>
          </m:r>
          <m:r>
            <m:rPr>
              <m:sty m:val="p"/>
            </m:rPr>
            <m:t>,</m:t>
          </m:r>
          <m:r>
            <m:rPr>
              <m:sty m:val="p"/>
            </m:rPr>
            <m:t>.</m:t>
          </m:r>
          <m:r>
            <m:rPr>
              <m:sty m:val="p"/>
            </m:rPr>
            <m:t>.</m:t>
          </m:r>
          <m:r>
            <m:rPr>
              <m:sty m:val="p"/>
            </m:rPr>
            <m:t>.</m:t>
          </m:r>
          <m:r>
            <m:rPr>
              <m:sty m:val="p"/>
            </m:rPr>
            <m:t>,</m:t>
          </m:r>
          <m:r>
            <m:t>n</m:t>
          </m:r>
          <m:r>
            <m:t>a</m:t>
          </m:r>
          <m:r>
            <m:t>g</m:t>
          </m:r>
          <m:r>
            <m:t>e</m:t>
          </m:r>
          <m:r>
            <m:t>s</m:t>
          </m:r>
        </m:oMath>
      </m:oMathPara>
    </w:p>
    <w:p>
      <w:pPr>
        <w:pStyle w:val="FirstParagraph"/>
      </w:pPr>
      <w:r>
        <w:t xml:space="preserve">where:</w:t>
      </w:r>
      <w:r>
        <w:t xml:space="preserve"> </w:t>
      </w:r>
      <w:r>
        <w:t xml:space="preserve">-</w:t>
      </w:r>
      <w:r>
        <w:t xml:space="preserve"> </w:t>
      </w:r>
      <m:oMath>
        <m:sSub>
          <m:e>
            <m:r>
              <m:t>δ</m:t>
            </m:r>
          </m:e>
          <m:sub>
            <m:r>
              <m:t>i</m:t>
            </m:r>
            <m:r>
              <m:t>i</m:t>
            </m:r>
            <m:r>
              <m:rPr>
                <m:sty m:val="p"/>
              </m:rPr>
              <m:t>,</m:t>
            </m:r>
            <m:r>
              <m:t>a</m:t>
            </m:r>
          </m:sub>
        </m:sSub>
      </m:oMath>
      <w:r>
        <w:t xml:space="preserve"> </w:t>
      </w:r>
      <w:r>
        <w:t xml:space="preserve">is the selectivity deviation for change event</w:t>
      </w:r>
      <w:r>
        <w:t xml:space="preserve"> </w:t>
      </w:r>
      <m:oMath>
        <m:r>
          <m:t>i</m:t>
        </m:r>
        <m:r>
          <m:t>i</m:t>
        </m:r>
      </m:oMath>
      <w:r>
        <w:t xml:space="preserve"> </w:t>
      </w:r>
      <w:r>
        <w:t xml:space="preserve">and age</w:t>
      </w:r>
      <w:r>
        <w:t xml:space="preserve"> </w:t>
      </w:r>
      <m:oMath>
        <m:r>
          <m:t>a</m:t>
        </m:r>
      </m:oMath>
      <w:r>
        <w:t xml:space="preserve"> </w:t>
      </w:r>
      <w:r>
        <w:t xml:space="preserve">-</w:t>
      </w:r>
      <w:r>
        <w:t xml:space="preserve"> </w:t>
      </w:r>
      <m:oMath>
        <m:r>
          <m:t>i</m:t>
        </m:r>
        <m:r>
          <m:t>i</m:t>
        </m:r>
      </m:oMath>
      <w:r>
        <w:t xml:space="preserve"> </w:t>
      </w:r>
      <w:r>
        <w:t xml:space="preserve">is the index of the current selectivity change event</w:t>
      </w:r>
    </w:p>
    <w:bookmarkEnd w:id="203"/>
    <w:bookmarkStart w:id="204" w:name="annual-normalization"/>
    <w:p>
      <w:pPr>
        <w:pStyle w:val="Heading3"/>
      </w:pPr>
      <w:r>
        <w:t xml:space="preserve">Annual Normalization</w:t>
      </w:r>
    </w:p>
    <w:p>
      <w:pPr>
        <w:pStyle w:val="FirstParagraph"/>
      </w:pPr>
      <w:r>
        <w:t xml:space="preserve">For each year</w:t>
      </w:r>
      <w:r>
        <w:t xml:space="preserve"> </w:t>
      </w:r>
      <m:oMath>
        <m:r>
          <m:t>t</m:t>
        </m:r>
      </m:oMath>
      <w:r>
        <w:t xml:space="preserve">:</w:t>
      </w:r>
    </w:p>
    <w:p>
      <w:pPr>
        <w:pStyle w:val="BodyText"/>
      </w:pPr>
      <m:oMathPara>
        <m:oMathParaPr>
          <m:jc m:val="center"/>
        </m:oMathParaPr>
        <m:oMath>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f>
                <m:fPr>
                  <m:type m:val="bar"/>
                </m:fPr>
                <m:num>
                  <m:r>
                    <m:t>1</m:t>
                  </m:r>
                </m:num>
                <m:den>
                  <m:r>
                    <m:t>n</m:t>
                  </m:r>
                  <m:r>
                    <m:t>a</m:t>
                  </m:r>
                  <m:r>
                    <m:t>g</m:t>
                  </m:r>
                  <m:r>
                    <m:t>e</m:t>
                  </m:r>
                  <m:r>
                    <m:t>s</m:t>
                  </m:r>
                </m:den>
              </m:f>
              <m:nary>
                <m:naryPr>
                  <m:chr m:val="∑"/>
                  <m:limLoc m:val="undOvr"/>
                  <m:subHide m:val="off"/>
                  <m:supHide m:val="off"/>
                </m:naryPr>
                <m:sub>
                  <m:r>
                    <m:t>a</m:t>
                  </m:r>
                  <m:r>
                    <m:rPr>
                      <m:sty m:val="p"/>
                    </m:rPr>
                    <m:t>=</m:t>
                  </m:r>
                  <m:r>
                    <m:t>1</m:t>
                  </m:r>
                </m:sub>
                <m:sup>
                  <m:r>
                    <m:t>n</m:t>
                  </m:r>
                  <m:r>
                    <m:t>a</m:t>
                  </m:r>
                  <m:r>
                    <m:t>g</m:t>
                  </m:r>
                  <m:r>
                    <m:t>e</m:t>
                  </m:r>
                  <m:r>
                    <m:t>s</m:t>
                  </m:r>
                </m:sup>
                <m:e>
                  <m:r>
                    <m:rPr>
                      <m:sty m:val="p"/>
                    </m:rPr>
                    <m:t>exp</m:t>
                  </m:r>
                </m:e>
              </m:nary>
              <m:d>
                <m:dPr>
                  <m:begChr m:val="("/>
                  <m:sepChr m:val=""/>
                  <m:endChr m:val=")"/>
                  <m:grow/>
                </m:dPr>
                <m:e>
                  <m:r>
                    <m:rPr>
                      <m:sty m:val="p"/>
                    </m:rPr>
                    <m:t>log</m:t>
                  </m:r>
                  <m:d>
                    <m:dPr>
                      <m:begChr m:val="("/>
                      <m:sepChr m:val=""/>
                      <m:endChr m:val=")"/>
                      <m:grow/>
                    </m:dPr>
                    <m:e>
                      <m:sSub>
                        <m:e>
                          <m:r>
                            <m:t>S</m:t>
                          </m:r>
                        </m:e>
                        <m:sub>
                          <m:r>
                            <m:t>t</m:t>
                          </m:r>
                          <m:r>
                            <m:rPr>
                              <m:sty m:val="p"/>
                            </m:rPr>
                            <m:t>,</m:t>
                          </m:r>
                          <m:r>
                            <m:t>a</m:t>
                          </m:r>
                        </m:sub>
                      </m:sSub>
                    </m:e>
                  </m:d>
                </m:e>
              </m:d>
            </m:e>
          </m:d>
        </m:oMath>
      </m:oMathPara>
    </w:p>
    <w:p>
      <w:pPr>
        <w:pStyle w:val="FirstParagraph"/>
      </w:pPr>
      <w:r>
        <w:t xml:space="preserve">and the actual selectivity is:</w:t>
      </w:r>
    </w:p>
    <w:p>
      <w:pPr>
        <w:pStyle w:val="BodyText"/>
      </w:pPr>
      <m:oMathPara>
        <m:oMathParaPr>
          <m:jc m:val="center"/>
        </m:oMathParaPr>
        <m:oMath>
          <m:sSub>
            <m:e>
              <m:r>
                <m:t>S</m:t>
              </m:r>
            </m:e>
            <m:sub>
              <m:r>
                <m:t>t</m:t>
              </m:r>
              <m:r>
                <m:rPr>
                  <m:sty m:val="p"/>
                </m:rPr>
                <m:t>,</m:t>
              </m:r>
              <m:r>
                <m:t>a</m:t>
              </m:r>
            </m:sub>
          </m:sSub>
          <m:r>
            <m:rPr>
              <m:sty m:val="p"/>
            </m:rPr>
            <m:t>=</m:t>
          </m:r>
          <m:r>
            <m:rPr>
              <m:sty m:val="p"/>
            </m:rPr>
            <m:t>exp</m:t>
          </m:r>
          <m:d>
            <m:dPr>
              <m:begChr m:val="("/>
              <m:sepChr m:val=""/>
              <m:endChr m:val=")"/>
              <m:grow/>
            </m:dPr>
            <m:e>
              <m:r>
                <m:rPr>
                  <m:sty m:val="p"/>
                </m:rPr>
                <m:t>log</m:t>
              </m:r>
              <m:d>
                <m:dPr>
                  <m:begChr m:val="("/>
                  <m:sepChr m:val=""/>
                  <m:endChr m:val=")"/>
                  <m:grow/>
                </m:dPr>
                <m:e>
                  <m:sSub>
                    <m:e>
                      <m:r>
                        <m:t>S</m:t>
                      </m:r>
                    </m:e>
                    <m:sub>
                      <m:r>
                        <m:t>t</m:t>
                      </m:r>
                      <m:r>
                        <m:rPr>
                          <m:sty m:val="p"/>
                        </m:rPr>
                        <m:t>,</m:t>
                      </m:r>
                      <m:r>
                        <m:t>a</m:t>
                      </m:r>
                    </m:sub>
                  </m:sSub>
                </m:e>
              </m:d>
            </m:e>
          </m:d>
        </m:oMath>
      </m:oMathPara>
    </w:p>
    <w:bookmarkEnd w:id="204"/>
    <w:bookmarkEnd w:id="205"/>
    <w:bookmarkStart w:id="207" w:name="constraints-and-properties"/>
    <w:p>
      <w:pPr>
        <w:pStyle w:val="Heading2"/>
      </w:pPr>
      <w:r>
        <w:t xml:space="preserve">Constraints and Properties</w:t>
      </w:r>
    </w:p>
    <w:p>
      <w:pPr>
        <w:numPr>
          <w:ilvl w:val="0"/>
          <w:numId w:val="1003"/>
        </w:numPr>
      </w:pPr>
      <w:r>
        <w:rPr>
          <w:b/>
          <w:bCs/>
        </w:rPr>
        <w:t xml:space="preserve">Normalization Constraint</w:t>
      </w:r>
      <w:r>
        <w:t xml:space="preserve">:</w:t>
      </w:r>
    </w:p>
    <w:p>
      <w:pPr>
        <w:pStyle w:val="BodyText"/>
      </w:pPr>
      <m:oMathPara>
        <m:oMathParaPr>
          <m:jc m:val="center"/>
        </m:oMathParaPr>
        <m:oMath>
          <m:nary>
            <m:naryPr>
              <m:chr m:val="∏"/>
              <m:limLoc m:val="undOvr"/>
              <m:subHide m:val="off"/>
              <m:supHide m:val="off"/>
            </m:naryPr>
            <m:sub>
              <m:r>
                <m:t>a</m:t>
              </m:r>
              <m:r>
                <m:rPr>
                  <m:sty m:val="p"/>
                </m:rPr>
                <m:t>=</m:t>
              </m:r>
              <m:r>
                <m:t>1</m:t>
              </m:r>
            </m:sub>
            <m:sup>
              <m:r>
                <m:t>n</m:t>
              </m:r>
              <m:r>
                <m:t>a</m:t>
              </m:r>
              <m:r>
                <m:t>g</m:t>
              </m:r>
              <m:r>
                <m:t>e</m:t>
              </m:r>
              <m:r>
                <m:t>s</m:t>
              </m:r>
            </m:sup>
            <m:e>
              <m:sSubSup>
                <m:e>
                  <m:r>
                    <m:t>S</m:t>
                  </m:r>
                </m:e>
                <m:sub>
                  <m:r>
                    <m:t>t</m:t>
                  </m:r>
                  <m:r>
                    <m:rPr>
                      <m:sty m:val="p"/>
                    </m:rPr>
                    <m:t>,</m:t>
                  </m:r>
                  <m:r>
                    <m:t>a</m:t>
                  </m:r>
                </m:sub>
                <m:sup>
                  <m:r>
                    <m:t>1</m:t>
                  </m:r>
                  <m:r>
                    <m:rPr>
                      <m:sty m:val="p"/>
                    </m:rPr>
                    <m:t>/</m:t>
                  </m:r>
                  <m:r>
                    <m:t>n</m:t>
                  </m:r>
                  <m:r>
                    <m:t>a</m:t>
                  </m:r>
                  <m:r>
                    <m:t>g</m:t>
                  </m:r>
                  <m:r>
                    <m:t>e</m:t>
                  </m:r>
                  <m:r>
                    <m:t>s</m:t>
                  </m:r>
                </m:sup>
              </m:sSubSup>
            </m:e>
          </m:nary>
          <m:r>
            <m:rPr>
              <m:sty m:val="p"/>
            </m:rPr>
            <m:t>=</m:t>
          </m:r>
          <m:r>
            <m:t>1</m:t>
          </m:r>
          <m:r>
            <m:t> </m:t>
          </m:r>
          <m:r>
            <m:rPr>
              <m:sty m:val="p"/>
            </m:rPr>
            <m:t>∀</m:t>
          </m:r>
          <m:r>
            <m:t>t</m:t>
          </m:r>
        </m:oMath>
      </m:oMathPara>
    </w:p>
    <w:p>
      <w:pPr>
        <w:numPr>
          <w:ilvl w:val="0"/>
          <w:numId w:val="1003"/>
        </w:numPr>
      </w:pPr>
      <w:r>
        <w:rPr>
          <w:b/>
          <w:bCs/>
        </w:rPr>
        <w:t xml:space="preserve">Dome-shaped Constraint</w:t>
      </w:r>
      <w:r>
        <w:t xml:space="preserve">:</w:t>
      </w:r>
    </w:p>
    <w:p>
      <w:pPr>
        <w:pStyle w:val="BodyText"/>
      </w:pPr>
      <m:oMathPara>
        <m:oMathParaPr>
          <m:jc m:val="center"/>
        </m:oMathParaPr>
        <m:oMath>
          <m:sSub>
            <m:e>
              <m:r>
                <m:t>S</m:t>
              </m:r>
            </m:e>
            <m:sub>
              <m:r>
                <m:t>t</m:t>
              </m:r>
              <m:r>
                <m:rPr>
                  <m:sty m:val="p"/>
                </m:rPr>
                <m:t>,</m:t>
              </m:r>
              <m:r>
                <m:t>a</m:t>
              </m:r>
            </m:sub>
          </m:sSub>
          <m:r>
            <m:rPr>
              <m:sty m:val="p"/>
            </m:rPr>
            <m:t>=</m:t>
          </m:r>
          <m:sSub>
            <m:e>
              <m:r>
                <m:t>S</m:t>
              </m:r>
            </m:e>
            <m:sub>
              <m:r>
                <m:t>t</m:t>
              </m:r>
              <m:r>
                <m:rPr>
                  <m:sty m:val="p"/>
                </m:rPr>
                <m:t>,</m:t>
              </m:r>
              <m:r>
                <m:t>n</m:t>
              </m:r>
              <m:r>
                <m:t>s</m:t>
              </m:r>
              <m:r>
                <m:t>e</m:t>
              </m:r>
              <m:r>
                <m:t>l</m:t>
              </m:r>
            </m:sub>
          </m:sSub>
          <m:r>
            <m:t> </m:t>
          </m:r>
          <m:r>
            <m:rPr>
              <m:nor/>
              <m:sty m:val="p"/>
            </m:rPr>
            <m:t>for </m:t>
          </m:r>
          <m:r>
            <m:t>a</m:t>
          </m:r>
          <m:r>
            <m:rPr>
              <m:sty m:val="p"/>
            </m:rPr>
            <m:t>&gt;</m:t>
          </m:r>
          <m:r>
            <m:t>n</m:t>
          </m:r>
          <m:r>
            <m:t>s</m:t>
          </m:r>
          <m:r>
            <m:t>e</m:t>
          </m:r>
          <m:r>
            <m:t>l</m:t>
          </m:r>
        </m:oMath>
      </m:oMathPara>
    </w:p>
    <w:p>
      <w:pPr>
        <w:numPr>
          <w:ilvl w:val="0"/>
          <w:numId w:val="1003"/>
        </w:numPr>
      </w:pPr>
      <w:r>
        <w:rPr>
          <w:b/>
          <w:bCs/>
        </w:rPr>
        <w:t xml:space="preserve">Continuity</w:t>
      </w:r>
      <w:r>
        <w:t xml:space="preserve">: Selectivity changes only occur in specified years (</w:t>
      </w:r>
      <w:r>
        <w:rPr>
          <w:rStyle w:val="VerbatimChar"/>
        </w:rPr>
        <w:t xml:space="preserve">yrs_ch_fsh</w:t>
      </w:r>
      <w:r>
        <w:t xml:space="preserve">)</w:t>
      </w:r>
    </w:p>
    <w:p>
      <w:pPr>
        <w:numPr>
          <w:ilvl w:val="0"/>
          <w:numId w:val="1003"/>
        </w:numPr>
      </w:pPr>
      <w:r>
        <w:rPr>
          <w:b/>
          <w:bCs/>
        </w:rPr>
        <w:t xml:space="preserve">Deviation Structure</w:t>
      </w:r>
      <w:r>
        <w:t xml:space="preserve">:</w:t>
      </w:r>
    </w:p>
    <w:p>
      <w:pPr>
        <w:pStyle w:val="BodyText"/>
      </w:pPr>
      <m:oMathPara>
        <m:oMathParaPr>
          <m:jc m:val="center"/>
        </m:oMathParaPr>
        <m:oMath>
          <m:sSub>
            <m:e>
              <m:r>
                <m:t>δ</m:t>
              </m:r>
            </m:e>
            <m:sub>
              <m:r>
                <m:t>i</m:t>
              </m:r>
              <m:r>
                <m:t>i</m:t>
              </m:r>
            </m:sub>
          </m:sSub>
          <m:r>
            <m:rPr>
              <m:sty m:val="p"/>
            </m:rPr>
            <m:t>∼</m:t>
          </m:r>
          <m:r>
            <m:rPr>
              <m:nor/>
              <m:sty m:val="p"/>
            </m:rPr>
            <m:t>estimated deviations with penalties</m:t>
          </m:r>
        </m:oMath>
      </m:oMathPara>
    </w:p>
    <w:bookmarkStart w:id="206" w:name="implementation-notes"/>
    <w:p>
      <w:pPr>
        <w:pStyle w:val="Heading3"/>
      </w:pPr>
      <w:r>
        <w:t xml:space="preserve">Implementation Notes</w:t>
      </w:r>
    </w:p>
    <w:p>
      <w:pPr>
        <w:pStyle w:val="Compact"/>
        <w:numPr>
          <w:ilvl w:val="0"/>
          <w:numId w:val="1004"/>
        </w:numPr>
      </w:pPr>
      <w:r>
        <w:t xml:space="preserve">Base coefficients</w:t>
      </w:r>
      <w:r>
        <w:t xml:space="preserve"> </w:t>
      </w:r>
      <m:oMath>
        <m:r>
          <m:rPr>
            <m:sty m:val="b"/>
          </m:rPr>
          <m:t>c</m:t>
        </m:r>
      </m:oMath>
      <w:r>
        <w:t xml:space="preserve"> </w:t>
      </w:r>
      <w:r>
        <w:t xml:space="preserve">are estimated parameters</w:t>
      </w:r>
    </w:p>
    <w:p>
      <w:pPr>
        <w:pStyle w:val="Compact"/>
        <w:numPr>
          <w:ilvl w:val="0"/>
          <w:numId w:val="1004"/>
        </w:numPr>
      </w:pPr>
      <w:r>
        <w:t xml:space="preserve">Deviations</w:t>
      </w:r>
      <w:r>
        <w:t xml:space="preserve"> </w:t>
      </w:r>
      <m:oMath>
        <m:r>
          <m:rPr>
            <m:sty m:val="b"/>
          </m:rPr>
          <m:t>δ</m:t>
        </m:r>
      </m:oMath>
      <w:r>
        <w:t xml:space="preserve"> </w:t>
      </w:r>
      <w:r>
        <w:t xml:space="preserve">are typically penalized to prevent overfitting</w:t>
      </w:r>
    </w:p>
    <w:p>
      <w:pPr>
        <w:pStyle w:val="Compact"/>
        <w:numPr>
          <w:ilvl w:val="0"/>
          <w:numId w:val="1004"/>
        </w:numPr>
      </w:pPr>
      <w:r>
        <w:t xml:space="preserve">The plateau assumption prevents unrealistic selectivity patterns for older ages</w:t>
      </w:r>
    </w:p>
    <w:p>
      <w:pPr>
        <w:pStyle w:val="Compact"/>
        <w:numPr>
          <w:ilvl w:val="0"/>
          <w:numId w:val="1004"/>
        </w:numPr>
      </w:pPr>
      <w:r>
        <w:t xml:space="preserve">Geometric mean normalization maintains interpretability relative to fishing mortality</w:t>
      </w:r>
    </w:p>
    <w:bookmarkEnd w:id="206"/>
    <w:bookmarkEnd w:id="207"/>
    <w:bookmarkStart w:id="208" w:name="sec-penalty"/>
    <w:p>
      <w:pPr>
        <w:pStyle w:val="Heading2"/>
      </w:pPr>
      <w:r>
        <w:t xml:space="preserve">Regularization and Penalty Terms</w:t>
      </w:r>
    </w:p>
    <w:p>
      <w:pPr>
        <w:pStyle w:val="FirstParagraph"/>
      </w:pPr>
      <w:r>
        <w:t xml:space="preserve">The selectivity model includes several penalty terms to ensure realistic and stable estimates:</w:t>
      </w:r>
      <w:r>
        <w:t xml:space="preserve"> </w:t>
      </w:r>
      <w:r>
        <w:t xml:space="preserve">Penalty Term 1: Deviation Magnitude Penalty</w:t>
      </w:r>
      <w:r>
        <w:t xml:space="preserve"> </w:t>
      </w:r>
      <m:oMath>
        <m:sSub>
          <m:e>
            <m:r>
              <m:t>P</m:t>
            </m:r>
          </m:e>
          <m:sub>
            <m:r>
              <m:t>1</m:t>
            </m:r>
          </m:sub>
        </m:sSub>
        <m:r>
          <m:rPr>
            <m:sty m:val="p"/>
          </m:rPr>
          <m:t>=</m:t>
        </m:r>
        <m:f>
          <m:fPr>
            <m:type m:val="bar"/>
          </m:fPr>
          <m:num>
            <m:sSub>
              <m:e>
                <m:r>
                  <m:t>λ</m:t>
                </m:r>
              </m:e>
              <m:sub>
                <m:r>
                  <m:t>1</m:t>
                </m:r>
              </m:sub>
            </m:sSub>
          </m:num>
          <m:den>
            <m:sSub>
              <m:e>
                <m:r>
                  <m:t>N</m:t>
                </m:r>
              </m:e>
              <m:sub>
                <m:r>
                  <m:t>g</m:t>
                </m:r>
                <m:r>
                  <m:t>r</m:t>
                </m:r>
                <m:r>
                  <m:t>o</m:t>
                </m:r>
                <m:r>
                  <m:t>u</m:t>
                </m:r>
                <m:r>
                  <m:t>p</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sup>
              <m:e>
                <m:sSubSup>
                  <m:e>
                    <m:r>
                      <m:t>δ</m:t>
                    </m:r>
                  </m:e>
                  <m:sub>
                    <m:r>
                      <m:t>i</m:t>
                    </m:r>
                    <m:r>
                      <m:rPr>
                        <m:sty m:val="p"/>
                      </m:rPr>
                      <m:t>,</m:t>
                    </m:r>
                    <m:r>
                      <m:t>a</m:t>
                    </m:r>
                  </m:sub>
                  <m:sup>
                    <m:r>
                      <m:t>2</m:t>
                    </m:r>
                  </m:sup>
                </m:sSubSup>
              </m:e>
            </m:nary>
          </m:e>
        </m:nary>
      </m:oMath>
      <w:r>
        <w:t xml:space="preserve"> </w:t>
      </w:r>
      <w:r>
        <w:t xml:space="preserve">where:</w:t>
      </w:r>
    </w:p>
    <w:p>
      <w:pPr>
        <w:pStyle w:val="BodyText"/>
      </w:pPr>
      <m:oMath>
        <m:sSub>
          <m:e>
            <m:r>
              <m:t>λ</m:t>
            </m:r>
          </m:e>
          <m:sub>
            <m:r>
              <m:t>1</m:t>
            </m:r>
          </m:sub>
        </m:sSub>
      </m:oMath>
      <w:r>
        <w:t xml:space="preserve"> </w:t>
      </w:r>
      <w:r>
        <w:t xml:space="preserve">= ctrl_flag(10) (penalty weight parameter)</w:t>
      </w:r>
      <w:r>
        <w:t xml:space="preserve"> </w:t>
      </w:r>
      <m:oMath>
        <m:sSub>
          <m:e>
            <m:r>
              <m:t>N</m:t>
            </m:r>
          </m:e>
          <m:sub>
            <m:r>
              <m:t>g</m:t>
            </m:r>
            <m:r>
              <m:t>r</m:t>
            </m:r>
            <m:r>
              <m:t>o</m:t>
            </m:r>
            <m:r>
              <m:t>u</m:t>
            </m:r>
            <m:r>
              <m:t>p</m:t>
            </m:r>
            <m:r>
              <m:t>s</m:t>
            </m:r>
          </m:sub>
        </m:sSub>
      </m:oMath>
      <w:r>
        <w:t xml:space="preserve"> </w:t>
      </w:r>
      <w:r>
        <w:t xml:space="preserve">= group_num_fsh (number of fishery groups)</w:t>
      </w:r>
      <w:r>
        <w:t xml:space="preserve"> </w:t>
      </w:r>
      <w:r>
        <w:t xml:space="preserve">This shrinks deviations toward zero when not informed by data</w:t>
      </w:r>
    </w:p>
    <w:p>
      <w:pPr>
        <w:pStyle w:val="BodyText"/>
      </w:pPr>
      <w:r>
        <w:t xml:space="preserve">Penalty Term 2: Base Selectivity Smoothness Penalty</w:t>
      </w:r>
      <w:r>
        <w:t xml:space="preserve"> </w:t>
      </w:r>
      <m:oMath>
        <m:sSub>
          <m:e>
            <m:r>
              <m:t>P</m:t>
            </m:r>
          </m:e>
          <m:sub>
            <m:r>
              <m:t>2</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r>
                              <m:t>s</m:t>
                            </m:r>
                            <m:r>
                              <m:t>t</m:t>
                            </m:r>
                            <m:r>
                              <m:t>y</m:t>
                            </m:r>
                            <m:r>
                              <m:t>r</m:t>
                            </m:r>
                            <m:r>
                              <m:rPr>
                                <m:sty m:val="p"/>
                              </m:rPr>
                              <m:t>,</m:t>
                            </m:r>
                            <m:r>
                              <m:t>a</m:t>
                            </m:r>
                          </m:sub>
                        </m:sSub>
                      </m:e>
                    </m:d>
                  </m:e>
                </m:d>
              </m:e>
              <m:sup>
                <m:r>
                  <m:t>2</m:t>
                </m:r>
              </m:sup>
            </m:sSup>
          </m:e>
        </m:nary>
      </m:oMath>
      <w:r>
        <w:t xml:space="preserve"> </w:t>
      </w:r>
      <w:r>
        <w:t xml:space="preserve">where:</w:t>
      </w:r>
    </w:p>
    <w:p>
      <w:pPr>
        <w:pStyle w:val="BodyText"/>
      </w:pPr>
      <m:oMath>
        <m:sSub>
          <m:e>
            <m:r>
              <m:t>λ</m:t>
            </m:r>
          </m:e>
          <m:sub>
            <m:r>
              <m:t>2</m:t>
            </m:r>
          </m:sub>
        </m:sSub>
      </m:oMath>
      <w:r>
        <w:t xml:space="preserve"> </w:t>
      </w:r>
      <w:r>
        <w:t xml:space="preserve">= ctrl_flag(11) (smoothness penalty weight)</w:t>
      </w:r>
      <w:r>
        <w:t xml:space="preserve"> </w:t>
      </w:r>
      <m:oMath>
        <m:sSup>
          <m:e>
            <m:r>
              <m:rPr>
                <m:sty m:val="p"/>
              </m:rPr>
              <m:t>∇</m:t>
            </m:r>
          </m:e>
          <m:sup>
            <m:r>
              <m:t>2</m:t>
            </m:r>
          </m:sup>
        </m:sSup>
        <m:r>
          <m:rPr>
            <m:sty m:val="p"/>
          </m:rPr>
          <m:t>log</m:t>
        </m:r>
        <m:d>
          <m:dPr>
            <m:begChr m:val="("/>
            <m:sepChr m:val=""/>
            <m:endChr m:val=")"/>
            <m:grow/>
          </m:dPr>
          <m:e>
            <m:sSub>
              <m:e>
                <m:r>
                  <m:t>S</m:t>
                </m:r>
              </m:e>
              <m:sub>
                <m:r>
                  <m:t>t</m:t>
                </m:r>
                <m:r>
                  <m:rPr>
                    <m:sty m:val="p"/>
                  </m:rPr>
                  <m:t>,</m:t>
                </m:r>
                <m:r>
                  <m:t>a</m:t>
                </m:r>
              </m:sub>
            </m:sSub>
          </m:e>
        </m:d>
        <m:r>
          <m:rPr>
            <m:sty m:val="p"/>
          </m:rPr>
          <m:t>=</m:t>
        </m:r>
        <m:r>
          <m:rPr>
            <m:sty m:val="p"/>
          </m:rPr>
          <m:t>log</m:t>
        </m:r>
        <m:d>
          <m:dPr>
            <m:begChr m:val="("/>
            <m:sepChr m:val=""/>
            <m:endChr m:val=")"/>
            <m:grow/>
          </m:dPr>
          <m:e>
            <m:sSub>
              <m:e>
                <m:r>
                  <m:t>S</m:t>
                </m:r>
              </m:e>
              <m:sub>
                <m:r>
                  <m:t>t</m:t>
                </m:r>
                <m:r>
                  <m:rPr>
                    <m:sty m:val="p"/>
                  </m:rPr>
                  <m:t>,</m:t>
                </m:r>
                <m:r>
                  <m:t>a</m:t>
                </m:r>
                <m:r>
                  <m:rPr>
                    <m:sty m:val="p"/>
                  </m:rPr>
                  <m:t>+</m:t>
                </m:r>
                <m:r>
                  <m:t>2</m:t>
                </m:r>
              </m:sub>
            </m:sSub>
          </m:e>
        </m:d>
        <m:r>
          <m:rPr>
            <m:sty m:val="p"/>
          </m:rPr>
          <m:t>−</m:t>
        </m:r>
        <m:r>
          <m:t>2</m:t>
        </m:r>
        <m:r>
          <m:rPr>
            <m:sty m:val="p"/>
          </m:rPr>
          <m:t>log</m:t>
        </m:r>
        <m:d>
          <m:dPr>
            <m:begChr m:val="("/>
            <m:sepChr m:val=""/>
            <m:endChr m:val=")"/>
            <m:grow/>
          </m:dPr>
          <m:e>
            <m:sSub>
              <m:e>
                <m:r>
                  <m:t>S</m:t>
                </m:r>
              </m:e>
              <m:sub>
                <m:r>
                  <m:t>t</m:t>
                </m:r>
                <m:r>
                  <m:rPr>
                    <m:sty m:val="p"/>
                  </m:rPr>
                  <m:t>,</m:t>
                </m:r>
                <m:r>
                  <m:t>a</m:t>
                </m:r>
                <m:r>
                  <m:rPr>
                    <m:sty m:val="p"/>
                  </m:rPr>
                  <m:t>+</m:t>
                </m:r>
                <m:r>
                  <m:t>1</m:t>
                </m:r>
              </m:sub>
            </m:sSub>
          </m:e>
        </m:d>
        <m:r>
          <m:rPr>
            <m:sty m:val="p"/>
          </m:rPr>
          <m:t>+</m:t>
        </m:r>
        <m:r>
          <m:rPr>
            <m:sty m:val="p"/>
          </m:rPr>
          <m:t>log</m:t>
        </m:r>
        <m:d>
          <m:dPr>
            <m:begChr m:val="("/>
            <m:sepChr m:val=""/>
            <m:endChr m:val=")"/>
            <m:grow/>
          </m:dPr>
          <m:e>
            <m:sSub>
              <m:e>
                <m:r>
                  <m:t>S</m:t>
                </m:r>
              </m:e>
              <m:sub>
                <m:r>
                  <m:t>t</m:t>
                </m:r>
                <m:r>
                  <m:rPr>
                    <m:sty m:val="p"/>
                  </m:rPr>
                  <m:t>,</m:t>
                </m:r>
                <m:r>
                  <m:t>a</m:t>
                </m:r>
              </m:sub>
            </m:sSub>
          </m:e>
        </m:d>
      </m:oMath>
      <w:r>
        <w:t xml:space="preserve"> </w:t>
      </w:r>
      <w:r>
        <w:t xml:space="preserve">(second difference)</w:t>
      </w:r>
      <w:r>
        <w:t xml:space="preserve"> </w:t>
      </w:r>
      <w:r>
        <w:t xml:space="preserve">This penalizes high curvature in the base selectivity pattern</w:t>
      </w:r>
    </w:p>
    <w:p>
      <w:pPr>
        <w:pStyle w:val="BodyText"/>
      </w:pPr>
      <w:r>
        <w:t xml:space="preserve">Penalty Term 3: Change Year Smoothness Penalty</w:t>
      </w:r>
      <w:r>
        <w:t xml:space="preserve"> </w:t>
      </w:r>
      <m:oMath>
        <m:sSub>
          <m:e>
            <m:r>
              <m:t>P</m:t>
            </m:r>
          </m:e>
          <m:sub>
            <m:r>
              <m:t>3</m:t>
            </m:r>
          </m:sub>
        </m:sSub>
        <m:r>
          <m:rPr>
            <m:sty m:val="p"/>
          </m:rPr>
          <m:t>=</m:t>
        </m:r>
        <m:f>
          <m:fPr>
            <m:type m:val="bar"/>
          </m:fPr>
          <m:num>
            <m:sSub>
              <m:e>
                <m:r>
                  <m:t>λ</m:t>
                </m:r>
              </m:e>
              <m:sub>
                <m:r>
                  <m:t>2</m:t>
                </m:r>
              </m:sub>
            </m:sSub>
          </m:num>
          <m:den>
            <m:sSub>
              <m:e>
                <m:r>
                  <m:t>N</m:t>
                </m:r>
              </m:e>
              <m:sub>
                <m:r>
                  <m:t>c</m:t>
                </m:r>
                <m:r>
                  <m:t>h</m:t>
                </m:r>
                <m:r>
                  <m:t>a</m:t>
                </m:r>
                <m:r>
                  <m:t>n</m:t>
                </m:r>
                <m:r>
                  <m:t>g</m:t>
                </m:r>
                <m:r>
                  <m:t>e</m:t>
                </m:r>
                <m:r>
                  <m:t>s</m:t>
                </m:r>
              </m:sub>
            </m:sSub>
          </m:den>
        </m:f>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nary>
              <m:naryPr>
                <m:chr m:val="∑"/>
                <m:limLoc m:val="undOvr"/>
                <m:subHide m:val="off"/>
                <m:supHide m:val="off"/>
              </m:naryPr>
              <m:sub>
                <m:r>
                  <m:t>a</m:t>
                </m:r>
                <m:r>
                  <m:rPr>
                    <m:sty m:val="p"/>
                  </m:rPr>
                  <m:t>=</m:t>
                </m:r>
                <m:r>
                  <m:t>1</m:t>
                </m:r>
              </m:sub>
              <m:sup>
                <m:r>
                  <m:t>n</m:t>
                </m:r>
                <m:r>
                  <m:t>s</m:t>
                </m:r>
                <m:r>
                  <m:t>e</m:t>
                </m:r>
                <m:r>
                  <m:t>l</m:t>
                </m:r>
                <m:r>
                  <m:rPr>
                    <m:sty m:val="p"/>
                  </m:rPr>
                  <m:t>−</m:t>
                </m:r>
                <m:r>
                  <m:t>2</m:t>
                </m:r>
              </m:sup>
              <m:e>
                <m:sSup>
                  <m:e>
                    <m:d>
                      <m:dPr>
                        <m:begChr m:val="["/>
                        <m:sepChr m:val=""/>
                        <m:endChr m:val="]"/>
                        <m:grow/>
                      </m:dPr>
                      <m:e>
                        <m:sSup>
                          <m:e>
                            <m:r>
                              <m:rPr>
                                <m:sty m:val="p"/>
                              </m:rPr>
                              <m:t>∇</m:t>
                            </m:r>
                          </m:e>
                          <m:sup>
                            <m:r>
                              <m:t>2</m:t>
                            </m:r>
                          </m:sup>
                        </m:sSup>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e>
        </m:nary>
      </m:oMath>
      <w:r>
        <w:t xml:space="preserve"> </w:t>
      </w:r>
      <w:r>
        <w:t xml:space="preserve">where</w:t>
      </w:r>
      <w:r>
        <w:t xml:space="preserve"> </w:t>
      </w:r>
      <m:oMath>
        <m:sSub>
          <m:e>
            <m:r>
              <m:t>t</m:t>
            </m:r>
          </m:e>
          <m:sub>
            <m:r>
              <m:t>i</m:t>
            </m:r>
          </m:sub>
        </m:sSub>
      </m:oMath>
      <w:r>
        <w:t xml:space="preserve"> </w:t>
      </w:r>
      <w:r>
        <w:t xml:space="preserve">represents each change year. This maintains smooth selectivity curves in all change years.</w:t>
      </w:r>
      <w:r>
        <w:t xml:space="preserve"> </w:t>
      </w:r>
      <w:r>
        <w:t xml:space="preserve">Penalty Term 4: Temporal Stability Penalty (Random Walk)</w:t>
      </w:r>
      <w:r>
        <w:t xml:space="preserve"> </w:t>
      </w:r>
      <m:oMath>
        <m:sSub>
          <m:e>
            <m:r>
              <m:t>P</m:t>
            </m:r>
          </m:e>
          <m:sub>
            <m:r>
              <m:t>4</m:t>
            </m:r>
          </m:sub>
        </m:sSub>
        <m:r>
          <m:rPr>
            <m:sty m:val="p"/>
          </m:rPr>
          <m:t>=</m:t>
        </m:r>
        <m:nary>
          <m:naryPr>
            <m:chr m:val="∑"/>
            <m:limLoc m:val="undOvr"/>
            <m:subHide m:val="off"/>
            <m:supHide m:val="off"/>
          </m:naryPr>
          <m:sub>
            <m:r>
              <m:t>i</m:t>
            </m:r>
            <m:r>
              <m:rPr>
                <m:sty m:val="p"/>
              </m:rPr>
              <m:t>=</m:t>
            </m:r>
            <m:r>
              <m:t>1</m:t>
            </m:r>
          </m:sub>
          <m:sup>
            <m:sSub>
              <m:e>
                <m:r>
                  <m:t>N</m:t>
                </m:r>
              </m:e>
              <m:sub>
                <m:r>
                  <m:t>c</m:t>
                </m:r>
                <m:r>
                  <m:t>h</m:t>
                </m:r>
                <m:r>
                  <m:t>a</m:t>
                </m:r>
                <m:r>
                  <m:t>n</m:t>
                </m:r>
                <m:r>
                  <m:t>g</m:t>
                </m:r>
                <m:r>
                  <m:t>e</m:t>
                </m:r>
                <m:r>
                  <m:t>s</m:t>
                </m:r>
              </m:sub>
            </m:sSub>
          </m:sup>
          <m:e>
            <m:f>
              <m:fPr>
                <m:type m:val="bar"/>
              </m:fPr>
              <m:num>
                <m:r>
                  <m:t>1</m:t>
                </m:r>
              </m:num>
              <m:den>
                <m:r>
                  <m:t>2</m:t>
                </m:r>
                <m:sSubSup>
                  <m:e>
                    <m:r>
                      <m:t>σ</m:t>
                    </m:r>
                  </m:e>
                  <m:sub>
                    <m:r>
                      <m:t>i</m:t>
                    </m:r>
                  </m:sub>
                  <m:sup>
                    <m:r>
                      <m:t>2</m:t>
                    </m:r>
                  </m:sup>
                </m:sSubSup>
              </m:den>
            </m:f>
          </m:e>
        </m:nary>
        <m:nary>
          <m:naryPr>
            <m:chr m:val="∑"/>
            <m:limLoc m:val="undOvr"/>
            <m:subHide m:val="off"/>
            <m:supHide m:val="off"/>
          </m:naryPr>
          <m:sub>
            <m:r>
              <m:t>a</m:t>
            </m:r>
            <m:r>
              <m:rPr>
                <m:sty m:val="p"/>
              </m:rPr>
              <m:t>=</m:t>
            </m:r>
            <m:r>
              <m:t>1</m:t>
            </m:r>
          </m:sub>
          <m:sup>
            <m:r>
              <m:t>n</m:t>
            </m:r>
            <m:r>
              <m:t>a</m:t>
            </m:r>
            <m:r>
              <m:t>g</m:t>
            </m:r>
            <m:r>
              <m:t>e</m:t>
            </m:r>
            <m:r>
              <m:t>s</m:t>
            </m:r>
          </m:sup>
          <m:e>
            <m:sSup>
              <m:e>
                <m:d>
                  <m:dPr>
                    <m:begChr m:val="["/>
                    <m:sepChr m:val=""/>
                    <m:endChr m:val="]"/>
                    <m:grow/>
                  </m:dPr>
                  <m:e>
                    <m:r>
                      <m:rPr>
                        <m:sty m:val="p"/>
                      </m:rPr>
                      <m:t>log</m:t>
                    </m:r>
                    <m:d>
                      <m:dPr>
                        <m:begChr m:val="("/>
                        <m:sepChr m:val=""/>
                        <m:endChr m:val=")"/>
                        <m:grow/>
                      </m:dPr>
                      <m:e>
                        <m:sSub>
                          <m:e>
                            <m:r>
                              <m:t>S</m:t>
                            </m:r>
                          </m:e>
                          <m:sub>
                            <m:sSub>
                              <m:e>
                                <m:r>
                                  <m:t>t</m:t>
                                </m:r>
                              </m:e>
                              <m:sub>
                                <m:r>
                                  <m:t>i</m:t>
                                </m:r>
                              </m:sub>
                            </m:sSub>
                            <m:r>
                              <m:rPr>
                                <m:sty m:val="p"/>
                              </m:rPr>
                              <m:t>−</m:t>
                            </m:r>
                            <m:r>
                              <m:t>1</m:t>
                            </m:r>
                            <m:r>
                              <m:rPr>
                                <m:sty m:val="p"/>
                              </m:rPr>
                              <m:t>,</m:t>
                            </m:r>
                            <m:r>
                              <m:t>a</m:t>
                            </m:r>
                          </m:sub>
                        </m:sSub>
                      </m:e>
                    </m:d>
                    <m:r>
                      <m:rPr>
                        <m:sty m:val="p"/>
                      </m:rPr>
                      <m:t>−</m:t>
                    </m:r>
                    <m:r>
                      <m:rPr>
                        <m:sty m:val="p"/>
                      </m:rPr>
                      <m:t>log</m:t>
                    </m:r>
                    <m:d>
                      <m:dPr>
                        <m:begChr m:val="("/>
                        <m:sepChr m:val=""/>
                        <m:endChr m:val=")"/>
                        <m:grow/>
                      </m:dPr>
                      <m:e>
                        <m:sSub>
                          <m:e>
                            <m:r>
                              <m:t>S</m:t>
                            </m:r>
                          </m:e>
                          <m:sub>
                            <m:sSub>
                              <m:e>
                                <m:r>
                                  <m:t>t</m:t>
                                </m:r>
                              </m:e>
                              <m:sub>
                                <m:r>
                                  <m:t>i</m:t>
                                </m:r>
                              </m:sub>
                            </m:sSub>
                            <m:r>
                              <m:rPr>
                                <m:sty m:val="p"/>
                              </m:rPr>
                              <m:t>,</m:t>
                            </m:r>
                            <m:r>
                              <m:t>a</m:t>
                            </m:r>
                          </m:sub>
                        </m:sSub>
                      </m:e>
                    </m:d>
                  </m:e>
                </m:d>
              </m:e>
              <m:sup>
                <m:r>
                  <m:t>2</m:t>
                </m:r>
              </m:sup>
            </m:sSup>
          </m:e>
        </m:nary>
      </m:oMath>
      <w:r>
        <w:t xml:space="preserve"> </w:t>
      </w:r>
      <w:r>
        <w:t xml:space="preserve">where:</w:t>
      </w:r>
    </w:p>
    <w:p>
      <w:pPr>
        <w:pStyle w:val="BodyText"/>
      </w:pPr>
      <m:oMath>
        <m:sSub>
          <m:e>
            <m:r>
              <m:t>σ</m:t>
            </m:r>
          </m:e>
          <m:sub>
            <m:r>
              <m:t>i</m:t>
            </m:r>
          </m:sub>
        </m:sSub>
      </m:oMath>
      <w:r>
        <w:t xml:space="preserve"> </w:t>
      </w:r>
      <w:r>
        <w:t xml:space="preserve">= sel_ch_sig_fsh(i) (change magnitude parameter for change event</w:t>
      </w:r>
      <w:r>
        <w:t xml:space="preserve"> </w:t>
      </w:r>
      <m:oMath>
        <m:r>
          <m:t>i</m:t>
        </m:r>
      </m:oMath>
      <w:r>
        <w:t xml:space="preserve">)</w:t>
      </w:r>
      <w:r>
        <w:t xml:space="preserve"> </w:t>
      </w:r>
      <w:r>
        <w:t xml:space="preserve">This penalizes large year-to-year changes in selectivity</w:t>
      </w:r>
      <w:r>
        <w:t xml:space="preserve"> </w:t>
      </w:r>
      <w:r>
        <w:t xml:space="preserve">Only applied when</w:t>
      </w:r>
      <w:r>
        <w:t xml:space="preserve"> </w:t>
      </w:r>
      <m:oMath>
        <m:sSub>
          <m:e>
            <m:r>
              <m:t>t</m:t>
            </m:r>
          </m:e>
          <m:sub>
            <m:r>
              <m:t>i</m:t>
            </m:r>
          </m:sub>
        </m:sSub>
        <m:r>
          <m:rPr>
            <m:sty m:val="p"/>
          </m:rPr>
          <m:t>≠</m:t>
        </m:r>
        <m:r>
          <m:t>s</m:t>
        </m:r>
        <m:r>
          <m:t>t</m:t>
        </m:r>
        <m:r>
          <m:t>y</m:t>
        </m:r>
        <m:r>
          <m:t>r</m:t>
        </m:r>
      </m:oMath>
      <w:r>
        <w:t xml:space="preserve"> </w:t>
      </w:r>
      <w:r>
        <w:t xml:space="preserve">(change year is not the start year)</w:t>
      </w:r>
    </w:p>
    <w:p>
      <w:pPr>
        <w:pStyle w:val="BodyText"/>
      </w:pPr>
      <w:r>
        <w:t xml:space="preserve">Total Penalty Function</w:t>
      </w:r>
      <w:r>
        <w:t xml:space="preserve"> </w:t>
      </w:r>
      <m:oMath>
        <m:sSub>
          <m:e>
            <m:r>
              <m:t>P</m:t>
            </m:r>
          </m:e>
          <m:sub>
            <m:r>
              <m:t>t</m:t>
            </m:r>
            <m:r>
              <m:t>o</m:t>
            </m:r>
            <m:r>
              <m:t>t</m:t>
            </m:r>
            <m:r>
              <m:t>a</m:t>
            </m:r>
            <m:r>
              <m:t>l</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oMath>
      <w:r>
        <w:t xml:space="preserve"> </w:t>
      </w:r>
      <w:r>
        <w:t xml:space="preserve">The total negative log-likelihood becomes:</w:t>
      </w:r>
      <w:r>
        <w:t xml:space="preserve"> </w:t>
      </w:r>
      <m:oMath>
        <m:r>
          <m:rPr>
            <m:sty m:val="p"/>
          </m:rPr>
          <m:t>−</m:t>
        </m:r>
        <m:r>
          <m:rPr>
            <m:sty m:val="p"/>
          </m:rPr>
          <m:t>log</m:t>
        </m:r>
        <m:r>
          <m:t>L</m:t>
        </m:r>
        <m:r>
          <m:rPr>
            <m:sty m:val="p"/>
          </m:rPr>
          <m:t>=</m:t>
        </m:r>
        <m:r>
          <m:rPr>
            <m:sty m:val="p"/>
          </m:rPr>
          <m:t>−</m:t>
        </m:r>
        <m:r>
          <m:rPr>
            <m:sty m:val="p"/>
          </m:rPr>
          <m:t>log</m:t>
        </m:r>
        <m:sSub>
          <m:e>
            <m:r>
              <m:t>L</m:t>
            </m:r>
          </m:e>
          <m:sub>
            <m:r>
              <m:t>d</m:t>
            </m:r>
            <m:r>
              <m:t>a</m:t>
            </m:r>
            <m:r>
              <m:t>t</m:t>
            </m:r>
            <m:r>
              <m:t>a</m:t>
            </m:r>
          </m:sub>
        </m:sSub>
        <m:r>
          <m:rPr>
            <m:sty m:val="p"/>
          </m:rPr>
          <m:t>+</m:t>
        </m:r>
        <m:sSub>
          <m:e>
            <m:r>
              <m:t>P</m:t>
            </m:r>
          </m:e>
          <m:sub>
            <m:r>
              <m:t>t</m:t>
            </m:r>
            <m:r>
              <m:t>o</m:t>
            </m:r>
            <m:r>
              <m:t>t</m:t>
            </m:r>
            <m:r>
              <m:t>a</m:t>
            </m:r>
            <m:r>
              <m:t>l</m:t>
            </m:r>
          </m:sub>
        </m:sSub>
      </m:oMath>
      <w:r>
        <w:t xml:space="preserve"> </w:t>
      </w:r>
      <w:r>
        <w:t xml:space="preserve">Penalty Interpretation</w:t>
      </w:r>
    </w:p>
    <w:p>
      <w:pPr>
        <w:pStyle w:val="BodyText"/>
      </w:pPr>
      <m:oMath>
        <m:sSub>
          <m:e>
            <m:r>
              <m:t>P</m:t>
            </m:r>
          </m:e>
          <m:sub>
            <m:r>
              <m:t>1</m:t>
            </m:r>
          </m:sub>
        </m:sSub>
      </m:oMath>
      <w:r>
        <w:t xml:space="preserve">: Prevents overfitting by shrinking deviations toward zero</w:t>
      </w:r>
      <w:r>
        <w:t xml:space="preserve"> </w:t>
      </w:r>
      <m:oMath>
        <m:sSub>
          <m:e>
            <m:r>
              <m:t>P</m:t>
            </m:r>
          </m:e>
          <m:sub>
            <m:r>
              <m:t>2</m:t>
            </m:r>
          </m:sub>
        </m:sSub>
      </m:oMath>
      <w:r>
        <w:t xml:space="preserve"> </w:t>
      </w:r>
      <w:r>
        <w:t xml:space="preserve">and</w:t>
      </w:r>
      <w:r>
        <w:t xml:space="preserve"> </w:t>
      </w:r>
      <m:oMath>
        <m:sSub>
          <m:e>
            <m:r>
              <m:t>P</m:t>
            </m:r>
          </m:e>
          <m:sub>
            <m:r>
              <m:t>3</m:t>
            </m:r>
          </m:sub>
        </m:sSub>
      </m:oMath>
      <w:r>
        <w:t xml:space="preserve">: Enforce smooth, realistic selectivity curves (penalize jagged patterns)</w:t>
      </w:r>
      <w:r>
        <w:t xml:space="preserve"> </w:t>
      </w:r>
      <m:oMath>
        <m:sSub>
          <m:e>
            <m:r>
              <m:t>P</m:t>
            </m:r>
          </m:e>
          <m:sub>
            <m:r>
              <m:t>4</m:t>
            </m:r>
          </m:sub>
        </m:sSub>
      </m:oMath>
      <w:r>
        <w:t xml:space="preserve">: Constrains temporal evolution (selectivity changes smoothly over time)</w:t>
      </w:r>
    </w:p>
    <w:p>
      <w:pPr>
        <w:pStyle w:val="BodyText"/>
      </w:pPr>
      <w:r>
        <w:t xml:space="preserve">The penalty weights (</w:t>
      </w:r>
      <m:oMath>
        <m:sSub>
          <m:e>
            <m:r>
              <m:t>λ</m:t>
            </m:r>
          </m:e>
          <m:sub>
            <m:r>
              <m:t>1</m:t>
            </m:r>
          </m:sub>
        </m:sSub>
      </m:oMath>
      <w:r>
        <w:t xml:space="preserve">,</w:t>
      </w:r>
      <w:r>
        <w:t xml:space="preserve"> </w:t>
      </w:r>
      <m:oMath>
        <m:sSub>
          <m:e>
            <m:r>
              <m:t>λ</m:t>
            </m:r>
          </m:e>
          <m:sub>
            <m:r>
              <m:t>2</m:t>
            </m:r>
          </m:sub>
        </m:sSub>
      </m:oMath>
      <w:r>
        <w:t xml:space="preserve">) and variance parameters (</w:t>
      </w:r>
      <m:oMath>
        <m:sSub>
          <m:e>
            <m:r>
              <m:t>σ</m:t>
            </m:r>
          </m:e>
          <m:sub>
            <m:r>
              <m:t>i</m:t>
            </m:r>
          </m:sub>
        </m:sSub>
      </m:oMath>
      <w:r>
        <w:t xml:space="preserve">) control the balance between fitting data and maintaining realistic selectivity patterns.</w:t>
      </w:r>
      <w:r>
        <w:t xml:space="preserve"> </w:t>
      </w:r>
      <w:r>
        <w:t xml:space="preserve">Implementation Notes</w:t>
      </w:r>
    </w:p>
    <w:p>
      <w:pPr>
        <w:pStyle w:val="BodyText"/>
      </w:pPr>
      <w:r>
        <w:t xml:space="preserve">Base coefficients</w:t>
      </w:r>
      <w:r>
        <w:t xml:space="preserve"> </w:t>
      </w:r>
      <m:oMath>
        <m:r>
          <m:rPr>
            <m:sty m:val="b"/>
          </m:rPr>
          <m:t>c</m:t>
        </m:r>
      </m:oMath>
      <w:r>
        <w:t xml:space="preserve"> </w:t>
      </w:r>
      <w:r>
        <w:t xml:space="preserve">are estimated parameters</w:t>
      </w:r>
      <w:r>
        <w:t xml:space="preserve"> </w:t>
      </w:r>
      <w:r>
        <w:t xml:space="preserve">Deviations</w:t>
      </w:r>
      <w:r>
        <w:t xml:space="preserve"> </w:t>
      </w:r>
      <m:oMath>
        <m:r>
          <m:rPr>
            <m:sty m:val="b"/>
          </m:rPr>
          <m:t>δ</m:t>
        </m:r>
      </m:oMath>
      <w:r>
        <w:t xml:space="preserve"> </w:t>
      </w:r>
      <w:r>
        <w:t xml:space="preserve">are penalized to prevent overfitting</w:t>
      </w:r>
      <w:r>
        <w:t xml:space="preserve"> </w:t>
      </w:r>
      <w:r>
        <w:t xml:space="preserve">The plateau assumption prevents unrealistic selectivity patterns for older ages</w:t>
      </w:r>
      <w:r>
        <w:t xml:space="preserve"> </w:t>
      </w:r>
      <w:r>
        <w:t xml:space="preserve">Geometric mean normalization maintains interpretability relative to fishing mortality</w:t>
      </w:r>
      <w:r>
        <w:t xml:space="preserve"> </w:t>
      </w:r>
      <w:r>
        <w:t xml:space="preserve">Second differences approximate curvature (second derivatives) for smoothness penalties</w:t>
      </w:r>
    </w:p>
    <w:bookmarkEnd w:id="208"/>
    <w:bookmarkEnd w:id="209"/>
    <w:bookmarkStart w:id="254" w:name="references"/>
    <w:p>
      <w:pPr>
        <w:pStyle w:val="Heading1"/>
      </w:pPr>
      <w:r>
        <w:t xml:space="preserve">References</w:t>
      </w:r>
    </w:p>
    <w:bookmarkStart w:id="253" w:name="refs"/>
    <w:bookmarkStart w:id="211"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210">
        <w:r>
          <w:rPr>
            <w:rStyle w:val="Hyperlink"/>
          </w:rPr>
          <w:t xml:space="preserve">https://doi.org/10.1016/j.fishres.2022.106303</w:t>
        </w:r>
      </w:hyperlink>
      <w:r>
        <w:t xml:space="preserve">.</w:t>
      </w:r>
    </w:p>
    <w:bookmarkEnd w:id="211"/>
    <w:bookmarkStart w:id="213"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212">
        <w:r>
          <w:rPr>
            <w:rStyle w:val="Hyperlink"/>
          </w:rPr>
          <w:t xml:space="preserve">https://doi.org/10.1101/2022.03.24.485545</w:t>
        </w:r>
      </w:hyperlink>
      <w:r>
        <w:t xml:space="preserve">.</w:t>
      </w:r>
    </w:p>
    <w:bookmarkEnd w:id="213"/>
    <w:bookmarkStart w:id="214" w:name="ref-butterworth2003statistical"/>
    <w:p>
      <w:pPr>
        <w:pStyle w:val="Bibliography"/>
      </w:pPr>
      <w:r>
        <w:t xml:space="preserve">Butterworth, Doug S, James N Ianelli, and Ray Hilborn. 2003.</w:t>
      </w:r>
      <w:r>
        <w:t xml:space="preserve"> </w:t>
      </w:r>
      <w:r>
        <w:t xml:space="preserve">“A Statistical Model for Stock Assessment of Southern Bluefin Tuna with Temporal Changes in Selectivity.”</w:t>
      </w:r>
      <w:r>
        <w:t xml:space="preserve"> </w:t>
      </w:r>
      <w:r>
        <w:rPr>
          <w:i/>
          <w:iCs/>
        </w:rPr>
        <w:t xml:space="preserve">Afr. J. Mar. Sci.</w:t>
      </w:r>
      <w:r>
        <w:t xml:space="preserve"> </w:t>
      </w:r>
      <w:r>
        <w:t xml:space="preserve">25: 331–61.</w:t>
      </w:r>
    </w:p>
    <w:bookmarkEnd w:id="214"/>
    <w:bookmarkStart w:id="215"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215"/>
    <w:bookmarkStart w:id="217"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216">
        <w:r>
          <w:rPr>
            <w:rStyle w:val="Hyperlink"/>
          </w:rPr>
          <w:t xml:space="preserve">https://doi.org/10.1111/faf.12891</w:t>
        </w:r>
      </w:hyperlink>
      <w:r>
        <w:t xml:space="preserve">.</w:t>
      </w:r>
    </w:p>
    <w:bookmarkEnd w:id="217"/>
    <w:bookmarkStart w:id="219"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218">
        <w:r>
          <w:rPr>
            <w:rStyle w:val="Hyperlink"/>
          </w:rPr>
          <w:t xml:space="preserve">https://doi.org/10.1080/10618600.1996.10474708</w:t>
        </w:r>
      </w:hyperlink>
      <w:r>
        <w:t xml:space="preserve">.</w:t>
      </w:r>
    </w:p>
    <w:bookmarkEnd w:id="219"/>
    <w:bookmarkStart w:id="220"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220"/>
    <w:bookmarkStart w:id="222"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221">
        <w:r>
          <w:rPr>
            <w:rStyle w:val="Hyperlink"/>
          </w:rPr>
          <w:t xml:space="preserve">http://florianhartig.github.io/DHARMa/</w:t>
        </w:r>
      </w:hyperlink>
      <w:r>
        <w:t xml:space="preserve">.</w:t>
      </w:r>
    </w:p>
    <w:bookmarkEnd w:id="222"/>
    <w:bookmarkStart w:id="224"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223">
        <w:r>
          <w:rPr>
            <w:rStyle w:val="Hyperlink"/>
          </w:rPr>
          <w:t xml:space="preserve">https://doi.org/10.1139/cjfas-2018-0112</w:t>
        </w:r>
      </w:hyperlink>
      <w:r>
        <w:t xml:space="preserve">.</w:t>
      </w:r>
    </w:p>
    <w:bookmarkEnd w:id="224"/>
    <w:bookmarkStart w:id="226"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225">
        <w:r>
          <w:rPr>
            <w:rStyle w:val="Hyperlink"/>
          </w:rPr>
          <w:t xml:space="preserve">https://www.npfmc.org/wp-content/PDFdocuments/SAFE/2024/EBSmultispp.pdf</w:t>
        </w:r>
      </w:hyperlink>
      <w:r>
        <w:t xml:space="preserve">.</w:t>
      </w:r>
    </w:p>
    <w:bookmarkEnd w:id="226"/>
    <w:bookmarkStart w:id="228"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227">
        <w:r>
          <w:rPr>
            <w:rStyle w:val="Hyperlink"/>
          </w:rPr>
          <w:t xml:space="preserve">http://afsc-assessments.github.io/EBSpollock/</w:t>
        </w:r>
      </w:hyperlink>
      <w:r>
        <w:t xml:space="preserve">.</w:t>
      </w:r>
    </w:p>
    <w:bookmarkEnd w:id="228"/>
    <w:bookmarkStart w:id="229"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29"/>
    <w:bookmarkStart w:id="231"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30">
        <w:r>
          <w:rPr>
            <w:rStyle w:val="Hyperlink"/>
          </w:rPr>
          <w:t xml:space="preserve">https://doi.org/10.1016/j.fishres.2012.10.012</w:t>
        </w:r>
      </w:hyperlink>
      <w:r>
        <w:t xml:space="preserve">.</w:t>
      </w:r>
    </w:p>
    <w:bookmarkEnd w:id="231"/>
    <w:bookmarkStart w:id="233"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32">
        <w:r>
          <w:rPr>
            <w:rStyle w:val="Hyperlink"/>
          </w:rPr>
          <w:t xml:space="preserve">https://doi.org/10.1016/j.fishres.2014.01.014</w:t>
        </w:r>
      </w:hyperlink>
      <w:r>
        <w:t xml:space="preserve">.</w:t>
      </w:r>
    </w:p>
    <w:bookmarkEnd w:id="233"/>
    <w:bookmarkStart w:id="235"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34">
        <w:r>
          <w:rPr>
            <w:rStyle w:val="Hyperlink"/>
          </w:rPr>
          <w:t xml:space="preserve">https://doi.org/10.1093/icesjms/fsab078</w:t>
        </w:r>
      </w:hyperlink>
      <w:r>
        <w:t xml:space="preserve">.</w:t>
      </w:r>
    </w:p>
    <w:bookmarkEnd w:id="235"/>
    <w:bookmarkStart w:id="237"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36">
        <w:r>
          <w:rPr>
            <w:rStyle w:val="Hyperlink"/>
          </w:rPr>
          <w:t xml:space="preserve">https://doi.org/10.1111/fog.12494</w:t>
        </w:r>
      </w:hyperlink>
      <w:r>
        <w:t xml:space="preserve">.</w:t>
      </w:r>
    </w:p>
    <w:bookmarkEnd w:id="237"/>
    <w:bookmarkStart w:id="238"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38"/>
    <w:bookmarkStart w:id="240"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39">
        <w:r>
          <w:rPr>
            <w:rStyle w:val="Hyperlink"/>
          </w:rPr>
          <w:t xml:space="preserve">https://doi.org/10.25923/1wwh-q418</w:t>
        </w:r>
      </w:hyperlink>
      <w:r>
        <w:t xml:space="preserve">.</w:t>
      </w:r>
    </w:p>
    <w:bookmarkEnd w:id="240"/>
    <w:bookmarkStart w:id="242"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41">
        <w:r>
          <w:rPr>
            <w:rStyle w:val="Hyperlink"/>
          </w:rPr>
          <w:t xml:space="preserve">https://doi.org/10.1016/j.fishres.2021.105967</w:t>
        </w:r>
      </w:hyperlink>
      <w:r>
        <w:t xml:space="preserve">.</w:t>
      </w:r>
    </w:p>
    <w:bookmarkEnd w:id="242"/>
    <w:bookmarkStart w:id="244"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43">
        <w:r>
          <w:rPr>
            <w:rStyle w:val="Hyperlink"/>
          </w:rPr>
          <w:t xml:space="preserve">https://doi.org/10.1139/cjfas-2017-0266</w:t>
        </w:r>
      </w:hyperlink>
      <w:r>
        <w:t xml:space="preserve">.</w:t>
      </w:r>
    </w:p>
    <w:bookmarkEnd w:id="244"/>
    <w:bookmarkStart w:id="246"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45">
        <w:r>
          <w:rPr>
            <w:rStyle w:val="Hyperlink"/>
          </w:rPr>
          <w:t xml:space="preserve">https://doi.org/10.1002/lno.11238</w:t>
        </w:r>
      </w:hyperlink>
      <w:r>
        <w:t xml:space="preserve">.</w:t>
      </w:r>
    </w:p>
    <w:bookmarkEnd w:id="246"/>
    <w:bookmarkStart w:id="247"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47"/>
    <w:bookmarkStart w:id="249"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48">
        <w:r>
          <w:rPr>
            <w:rStyle w:val="Hyperlink"/>
          </w:rPr>
          <w:t xml:space="preserve">https://doi.org/10.1016/j.fishres.2015.11.016</w:t>
        </w:r>
      </w:hyperlink>
      <w:r>
        <w:t xml:space="preserve">.</w:t>
      </w:r>
    </w:p>
    <w:bookmarkEnd w:id="249"/>
    <w:bookmarkStart w:id="251" w:name="ref-trijoulet2020"/>
    <w:p>
      <w:pPr>
        <w:pStyle w:val="Bibliography"/>
      </w:pPr>
      <w:r>
        <w:t xml:space="preserve">Trijoulet, Vanessa, Gavin Fay, and Timothy J. Miller. 2020.</w:t>
      </w:r>
      <w:r>
        <w:t xml:space="preserve"> </w:t>
      </w:r>
      <w:r>
        <w:t xml:space="preserve">“Performance of a State-Space Multispecies Model: What Are the Consequences of Ignoring Predation and Process Errors in Stock Assessments?”</w:t>
      </w:r>
      <w:r>
        <w:t xml:space="preserve"> </w:t>
      </w:r>
      <w:r>
        <w:rPr>
          <w:i/>
          <w:iCs/>
        </w:rPr>
        <w:t xml:space="preserve">Journal of Applied Ecology</w:t>
      </w:r>
      <w:r>
        <w:t xml:space="preserve"> </w:t>
      </w:r>
      <w:r>
        <w:t xml:space="preserve">57 (1): 121–35. https://doi.org/</w:t>
      </w:r>
      <w:hyperlink r:id="rId250">
        <w:r>
          <w:rPr>
            <w:rStyle w:val="Hyperlink"/>
          </w:rPr>
          <w:t xml:space="preserve">https://doi.org/10.1111/1365-2664.13515</w:t>
        </w:r>
      </w:hyperlink>
      <w:r>
        <w:t xml:space="preserve">.</w:t>
      </w:r>
    </w:p>
    <w:bookmarkEnd w:id="251"/>
    <w:bookmarkStart w:id="252"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252"/>
    <w:bookmarkEnd w:id="253"/>
    <w:bookmarkEnd w:id="2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97" Target="media/rId97.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31" Target="media/rId13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11" Target="media/rId11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193" Target="media/rId193.png" /><Relationship Type="http://schemas.openxmlformats.org/officeDocument/2006/relationships/image" Id="rId188" Target="media/rId18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227" Target="http://afsc-assessments.github.io/EBSpollock/" TargetMode="External" /><Relationship Type="http://schemas.openxmlformats.org/officeDocument/2006/relationships/hyperlink" Id="rId22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45" Target="https://doi.org/10.1002/lno.11238" TargetMode="External" /><Relationship Type="http://schemas.openxmlformats.org/officeDocument/2006/relationships/hyperlink" Id="rId230" Target="https://doi.org/10.1016/j.fishres.2012.10.012" TargetMode="External" /><Relationship Type="http://schemas.openxmlformats.org/officeDocument/2006/relationships/hyperlink" Id="rId232" Target="https://doi.org/10.1016/j.fishres.2014.01.014" TargetMode="External" /><Relationship Type="http://schemas.openxmlformats.org/officeDocument/2006/relationships/hyperlink" Id="rId248" Target="https://doi.org/10.1016/j.fishres.2015.11.016" TargetMode="External" /><Relationship Type="http://schemas.openxmlformats.org/officeDocument/2006/relationships/hyperlink" Id="rId241" Target="https://doi.org/10.1016/j.fishres.2021.105967" TargetMode="External" /><Relationship Type="http://schemas.openxmlformats.org/officeDocument/2006/relationships/hyperlink" Id="rId210" Target="https://doi.org/10.1016/j.fishres.2022.106303" TargetMode="External" /><Relationship Type="http://schemas.openxmlformats.org/officeDocument/2006/relationships/hyperlink" Id="rId218" Target="https://doi.org/10.1080/10618600.1996.10474708" TargetMode="External" /><Relationship Type="http://schemas.openxmlformats.org/officeDocument/2006/relationships/hyperlink" Id="rId234" Target="https://doi.org/10.1093/icesjms/fsab078" TargetMode="External" /><Relationship Type="http://schemas.openxmlformats.org/officeDocument/2006/relationships/hyperlink" Id="rId212" Target="https://doi.org/10.1101/2022.03.24.485545" TargetMode="External" /><Relationship Type="http://schemas.openxmlformats.org/officeDocument/2006/relationships/hyperlink" Id="rId250" Target="https://doi.org/10.1111/1365-2664.13515" TargetMode="External" /><Relationship Type="http://schemas.openxmlformats.org/officeDocument/2006/relationships/hyperlink" Id="rId216" Target="https://doi.org/10.1111/faf.12891" TargetMode="External" /><Relationship Type="http://schemas.openxmlformats.org/officeDocument/2006/relationships/hyperlink" Id="rId236" Target="https://doi.org/10.1111/fog.12494" TargetMode="External" /><Relationship Type="http://schemas.openxmlformats.org/officeDocument/2006/relationships/hyperlink" Id="rId243" Target="https://doi.org/10.1139/cjfas-2017-0266" TargetMode="External" /><Relationship Type="http://schemas.openxmlformats.org/officeDocument/2006/relationships/hyperlink" Id="rId223" Target="https://doi.org/10.1139/cjfas-2018-0112" TargetMode="External" /><Relationship Type="http://schemas.openxmlformats.org/officeDocument/2006/relationships/hyperlink" Id="rId23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59" Target="https://github.com/noaa-afsc/EBS_pollock/tree/main/runs/wham" TargetMode="External" /><Relationship Type="http://schemas.openxmlformats.org/officeDocument/2006/relationships/hyperlink" Id="rId225"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227" Target="http://afsc-assessments.github.io/EBSpollock/" TargetMode="External" /><Relationship Type="http://schemas.openxmlformats.org/officeDocument/2006/relationships/hyperlink" Id="rId221"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45" Target="https://doi.org/10.1002/lno.11238" TargetMode="External" /><Relationship Type="http://schemas.openxmlformats.org/officeDocument/2006/relationships/hyperlink" Id="rId230" Target="https://doi.org/10.1016/j.fishres.2012.10.012" TargetMode="External" /><Relationship Type="http://schemas.openxmlformats.org/officeDocument/2006/relationships/hyperlink" Id="rId232" Target="https://doi.org/10.1016/j.fishres.2014.01.014" TargetMode="External" /><Relationship Type="http://schemas.openxmlformats.org/officeDocument/2006/relationships/hyperlink" Id="rId248" Target="https://doi.org/10.1016/j.fishres.2015.11.016" TargetMode="External" /><Relationship Type="http://schemas.openxmlformats.org/officeDocument/2006/relationships/hyperlink" Id="rId241" Target="https://doi.org/10.1016/j.fishres.2021.105967" TargetMode="External" /><Relationship Type="http://schemas.openxmlformats.org/officeDocument/2006/relationships/hyperlink" Id="rId210" Target="https://doi.org/10.1016/j.fishres.2022.106303" TargetMode="External" /><Relationship Type="http://schemas.openxmlformats.org/officeDocument/2006/relationships/hyperlink" Id="rId218" Target="https://doi.org/10.1080/10618600.1996.10474708" TargetMode="External" /><Relationship Type="http://schemas.openxmlformats.org/officeDocument/2006/relationships/hyperlink" Id="rId234" Target="https://doi.org/10.1093/icesjms/fsab078" TargetMode="External" /><Relationship Type="http://schemas.openxmlformats.org/officeDocument/2006/relationships/hyperlink" Id="rId212" Target="https://doi.org/10.1101/2022.03.24.485545" TargetMode="External" /><Relationship Type="http://schemas.openxmlformats.org/officeDocument/2006/relationships/hyperlink" Id="rId250" Target="https://doi.org/10.1111/1365-2664.13515" TargetMode="External" /><Relationship Type="http://schemas.openxmlformats.org/officeDocument/2006/relationships/hyperlink" Id="rId216" Target="https://doi.org/10.1111/faf.12891" TargetMode="External" /><Relationship Type="http://schemas.openxmlformats.org/officeDocument/2006/relationships/hyperlink" Id="rId236" Target="https://doi.org/10.1111/fog.12494" TargetMode="External" /><Relationship Type="http://schemas.openxmlformats.org/officeDocument/2006/relationships/hyperlink" Id="rId243" Target="https://doi.org/10.1139/cjfas-2017-0266" TargetMode="External" /><Relationship Type="http://schemas.openxmlformats.org/officeDocument/2006/relationships/hyperlink" Id="rId223" Target="https://doi.org/10.1139/cjfas-2018-0112" TargetMode="External" /><Relationship Type="http://schemas.openxmlformats.org/officeDocument/2006/relationships/hyperlink" Id="rId239" Target="https://doi.org/10.25923/1wwh-q418" TargetMode="External" /><Relationship Type="http://schemas.openxmlformats.org/officeDocument/2006/relationships/hyperlink" Id="rId144" Target="https://github.com/noaa-afsc/EBS_pollock/tree/main/runs/SAM/poll24" TargetMode="External" /><Relationship Type="http://schemas.openxmlformats.org/officeDocument/2006/relationships/hyperlink" Id="rId159" Target="https://github.com/noaa-afsc/EBS_pollock/tree/main/runs/wham" TargetMode="External" /><Relationship Type="http://schemas.openxmlformats.org/officeDocument/2006/relationships/hyperlink" Id="rId225"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Sophia Wassermann</dc:creator>
  <cp:keywords/>
  <dcterms:created xsi:type="dcterms:W3CDTF">2025-09-09T18:00:45Z</dcterms:created>
  <dcterms:modified xsi:type="dcterms:W3CDTF">2025-09-09T18:00:45Z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