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57.png" ContentType="image/png"/>
  <Override PartName="/word/media/rId161.png" ContentType="image/png"/>
  <Override PartName="/word/media/rId165.png" ContentType="image/png"/>
  <Override PartName="/word/media/rId133.png" ContentType="image/png"/>
  <Override PartName="/word/media/rId137.png" ContentType="image/png"/>
  <Override PartName="/word/media/rId143.png" ContentType="image/png"/>
  <Override PartName="/word/media/rId147.png" ContentType="image/png"/>
  <Override PartName="/word/media/rId151.png" ContentType="image/png"/>
  <Override PartName="/word/media/rId170.png" ContentType="image/png"/>
  <Override PartName="/word/media/rId174.png" ContentType="image/png"/>
  <Override PartName="/word/media/rId178.png" ContentType="image/png"/>
  <Override PartName="/word/media/rId117.png" ContentType="image/png"/>
  <Override PartName="/word/media/rId129.png" ContentType="image/png"/>
  <Override PartName="/word/media/rId121.png" ContentType="image/png"/>
  <Override PartName="/word/media/rId125.png" ContentType="image/png"/>
  <Override PartName="/word/media/rId110.png" ContentType="image/png"/>
  <Override PartName="/word/media/rId47.png" ContentType="image/png"/>
  <Override PartName="/word/media/rId189.png" ContentType="image/png"/>
  <Override PartName="/word/media/rId184.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12</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13</w:t>
        </w:r>
      </w:hyperlink>
      <w:r>
        <w:t xml:space="preserve">. Estimates of BTS survey biomass fit the BTS data very poorly in most years when the BTS data were downweighted (</w:t>
      </w:r>
      <w:hyperlink w:anchor="fig-loo-bts-index">
        <w:r>
          <w:rPr>
            <w:rStyle w:val="Hyperlink"/>
          </w:rPr>
          <w:t xml:space="preserve">Figure 14</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6"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w:t>
      </w:r>
      <w:r>
        <w:t xml:space="preserve"> </w:t>
      </w:r>
      <w:r>
        <w:t xml:space="preserve">The current assessment has an option to include the 2024 CEATTLE estimates of natural</w:t>
      </w:r>
      <w:r>
        <w:t xml:space="preserve"> </w:t>
      </w:r>
      <w:r>
        <w:t xml:space="preserve">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w:t>
      </w:r>
      <w:r>
        <w:t xml:space="preserve"> </w:t>
      </w:r>
      <w:r>
        <w:t xml:space="preserve">recruitment (</w:t>
      </w:r>
      <w:hyperlink w:anchor="fig-Mmat-recruitment">
        <w:r>
          <w:rPr>
            <w:rStyle w:val="Hyperlink"/>
          </w:rPr>
          <w:t xml:space="preserve">Figure 18</w:t>
        </w:r>
      </w:hyperlink>
      <w:r>
        <w:t xml:space="preserve">) lower spawning biomass in the near term (</w:t>
      </w:r>
      <w:hyperlink w:anchor="fig-Mmat-ssb">
        <w:r>
          <w:rPr>
            <w:rStyle w:val="Hyperlink"/>
          </w:rPr>
          <w:t xml:space="preserve">Figure 19</w:t>
        </w:r>
      </w:hyperlink>
      <w:r>
        <w:t xml:space="preserve">).</w:t>
      </w:r>
      <w:r>
        <w:t xml:space="preserve"> </w:t>
      </w:r>
      <w:r>
        <w:t xml:space="preserve">This is due to the higher natural mortality for most ages and years compared</w:t>
      </w:r>
      <w:r>
        <w:t xml:space="preserve"> </w:t>
      </w:r>
      <w:r>
        <w:t xml:space="preserve">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p>
      <w:pPr>
        <w:pStyle w:val="BodyText"/>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w:t>
      </w:r>
      <w:r>
        <w:t xml:space="preserve"> </w:t>
      </w:r>
      <w:r>
        <w:t xml:space="preserve">fits 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w:t>
      </w:r>
      <w:r>
        <w:t xml:space="preserve"> </w:t>
      </w:r>
      <w:r>
        <w:t xml:space="preserve">were generally poorer (</w:t>
      </w:r>
      <w:hyperlink w:anchor="tbl-Mmat_fits">
        <w:r>
          <w:rPr>
            <w:rStyle w:val="Hyperlink"/>
          </w:rPr>
          <w:t xml:space="preserve">Table 8</w:t>
        </w:r>
      </w:hyperlink>
      <w:r>
        <w:t xml:space="preserve">).</w:t>
      </w:r>
      <w:r>
        <w:t xml:space="preserve"> </w:t>
      </w:r>
      <w:r>
        <w:t xml:space="preserve">Results from the</w:t>
      </w:r>
      <w:r>
        <w:t xml:space="preserve"> </w:t>
      </w:r>
      <w:r>
        <w:t xml:space="preserve">Urmy, Ressler, and De Robertis (2025)</w:t>
      </w:r>
      <w:r>
        <w:t xml:space="preserve"> </w:t>
      </w:r>
      <w:r>
        <w:t xml:space="preserve">had minor impact on management-related quantities whereas</w:t>
      </w:r>
      <w:r>
        <w:t xml:space="preserve"> </w:t>
      </w:r>
      <w:r>
        <w:t xml:space="preserve">those with the alternative natural mortality specification differed in a number of ways</w:t>
      </w:r>
      <w:r>
        <w:t xml:space="preserve"> </w:t>
      </w:r>
      <w:r>
        <w:t xml:space="preserve">(</w:t>
      </w:r>
      <w:hyperlink w:anchor="tbl-Mmat_ref">
        <w:r>
          <w:rPr>
            <w:rStyle w:val="Hyperlink"/>
          </w:rPr>
          <w:t xml:space="preserve">Table 9</w:t>
        </w:r>
      </w:hyperlink>
      <w:r>
        <w:t xml:space="preserve">). The most notable difference 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3" w:name="fig-urmy_ats"/>
          <w:p>
            <w:pPr>
              <w:pStyle w:val="Compact"/>
              <w:jc w:val="center"/>
            </w:pPr>
            <w:r>
              <w:drawing>
                <wp:inline>
                  <wp:extent cx="5334000" cy="4267200"/>
                  <wp:effectExtent b="0" l="0" r="0" t="0"/>
                  <wp:docPr descr="" title="" id="111" name="Picture"/>
                  <a:graphic>
                    <a:graphicData uri="http://schemas.openxmlformats.org/drawingml/2006/picture">
                      <pic:pic>
                        <pic:nvPicPr>
                          <pic:cNvPr descr="CIE_files/figure-docx/fig-urmy_ats-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5"/>
        </w:tc>
      </w:tr>
    </w:tbl>
    <w:bookmarkEnd w:id="116"/>
    <w:bookmarkStart w:id="183" w:name="alternative-assessment-software"/>
    <w:p>
      <w:pPr>
        <w:pStyle w:val="Heading1"/>
      </w:pPr>
      <w:r>
        <w:t xml:space="preserve">Alternative assessment software</w:t>
      </w:r>
    </w:p>
    <w:bookmarkStart w:id="14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0" w:name="fig-ss3"/>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s3-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1"/>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synts-2"/>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ynts-2.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2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24</w:t>
        </w:r>
      </w:hyperlink>
      <w:r>
        <w:t xml:space="preserve">) but slight differences in SSB and recruitment estimates</w:t>
      </w:r>
      <w:r>
        <w:t xml:space="preserve"> </w:t>
      </w:r>
      <w:r>
        <w:t xml:space="preserve">(</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fig-ss3vpmsel"/>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ss3vpmsel-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1"/>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pmvss3-2"/>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pmvss3-2.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0"/>
        </w:tc>
      </w:tr>
    </w:tbl>
    <w:bookmarkEnd w:id="141"/>
    <w:bookmarkStart w:id="15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28</w:t>
        </w:r>
      </w:hyperlink>
      <w:r>
        <w:t xml:space="preserve">). The recruitment estimates are similar as well</w:t>
      </w:r>
      <w:r>
        <w:t xml:space="preserve"> </w:t>
      </w:r>
      <w:r>
        <w:t xml:space="preserve">(</w:t>
      </w:r>
      <w:hyperlink w:anchor="fig-samts-2">
        <w:r>
          <w:rPr>
            <w:rStyle w:val="Hyperlink"/>
          </w:rPr>
          <w:t xml:space="preserve">Figure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0" w:name="fig-samts-1"/>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samts-2"/>
          <w:p>
            <w:pPr>
              <w:pStyle w:val="Compact"/>
              <w:jc w:val="center"/>
            </w:pPr>
            <w:r>
              <w:drawing>
                <wp:inline>
                  <wp:extent cx="5334000" cy="4267200"/>
                  <wp:effectExtent b="0" l="0" r="0" t="0"/>
                  <wp:docPr descr="" title="" id="152" name="Picture"/>
                  <a:graphic>
                    <a:graphicData uri="http://schemas.openxmlformats.org/drawingml/2006/picture">
                      <pic:pic>
                        <pic:nvPicPr>
                          <pic:cNvPr descr="CIE_files/figure-docx/fig-samts-2.png" id="153" name="Picture"/>
                          <pic:cNvPicPr>
                            <a:picLocks noChangeArrowheads="1" noChangeAspect="1"/>
                          </pic:cNvPicPr>
                        </pic:nvPicPr>
                        <pic:blipFill>
                          <a:blip r:embed="rId15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4"/>
        </w:tc>
      </w:tr>
    </w:tbl>
    <w:bookmarkEnd w:id="155"/>
    <w:bookmarkStart w:id="169"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60" w:name="fig-all"/>
          <w:p>
            <w:pPr>
              <w:pStyle w:val="Compact"/>
              <w:jc w:val="center"/>
            </w:pPr>
            <w:r>
              <w:drawing>
                <wp:inline>
                  <wp:extent cx="5334000" cy="4267200"/>
                  <wp:effectExtent b="0" l="0" r="0" t="0"/>
                  <wp:docPr descr="" title="" id="158" name="Picture"/>
                  <a:graphic>
                    <a:graphicData uri="http://schemas.openxmlformats.org/drawingml/2006/picture">
                      <pic:pic>
                        <pic:nvPicPr>
                          <pic:cNvPr descr="CIE_files/figure-docx/fig-all-1.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60"/>
        </w:tc>
      </w:tr>
    </w:tbl>
    <w:tbl>
      <w:tblPr>
        <w:tblStyle w:val="Table"/>
        <w:tblW w:type="pct" w:w="5000"/>
        <w:tblLayout w:type="fixed"/>
        <w:tblLook w:firstRow="0" w:lastRow="0" w:firstColumn="0" w:lastColumn="0" w:noHBand="0" w:noVBand="0" w:val="0000"/>
      </w:tblPr>
      <w:tblGrid>
        <w:gridCol w:w="7920"/>
      </w:tblGrid>
      <w:tr>
        <w:tc>
          <w:tcPr/>
          <w:bookmarkStart w:id="164" w:name="fig-all_ts-1"/>
          <w:p>
            <w:pPr>
              <w:pStyle w:val="Compact"/>
              <w:jc w:val="center"/>
            </w:pPr>
            <w:r>
              <w:drawing>
                <wp:inline>
                  <wp:extent cx="5334000" cy="4267200"/>
                  <wp:effectExtent b="0" l="0" r="0" t="0"/>
                  <wp:docPr descr="" title="" id="162" name="Picture"/>
                  <a:graphic>
                    <a:graphicData uri="http://schemas.openxmlformats.org/drawingml/2006/picture">
                      <pic:pic>
                        <pic:nvPicPr>
                          <pic:cNvPr descr="CIE_files/figure-docx/fig-all_ts-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Rceattle model.</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fig-all_ts-2"/>
          <w:p>
            <w:pPr>
              <w:pStyle w:val="Compact"/>
              <w:jc w:val="center"/>
            </w:pPr>
            <w:r>
              <w:drawing>
                <wp:inline>
                  <wp:extent cx="5334000" cy="4267200"/>
                  <wp:effectExtent b="0" l="0" r="0" t="0"/>
                  <wp:docPr descr="" title="" id="166" name="Picture"/>
                  <a:graphic>
                    <a:graphicData uri="http://schemas.openxmlformats.org/drawingml/2006/picture">
                      <pic:pic>
                        <pic:nvPicPr>
                          <pic:cNvPr descr="CIE_files/figure-docx/fig-all_ts-2.png" id="167" name="Picture"/>
                          <pic:cNvPicPr>
                            <a:picLocks noChangeArrowheads="1" noChangeAspect="1"/>
                          </pic:cNvPicPr>
                        </pic:nvPicPr>
                        <pic:blipFill>
                          <a:blip r:embed="rId1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Rceattle model.</w:t>
            </w:r>
          </w:p>
          <w:bookmarkEnd w:id="168"/>
        </w:tc>
      </w:tr>
    </w:tbl>
    <w:bookmarkEnd w:id="169"/>
    <w:bookmarkStart w:id="182"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33</w:t>
        </w:r>
      </w:hyperlink>
      <w:r>
        <w:t xml:space="preserve"> </w:t>
      </w:r>
      <w:r>
        <w:t xml:space="preserve">shows the model results comparing time-varying selectivity whereas</w:t>
      </w:r>
      <w:r>
        <w:t xml:space="preserve"> </w:t>
      </w:r>
      <w:hyperlink w:anchor="fig-spock_ts-1">
        <w:r>
          <w:rPr>
            <w:rStyle w:val="Hyperlink"/>
          </w:rPr>
          <w:t xml:space="preserve">Figure 34</w:t>
        </w:r>
      </w:hyperlink>
      <w:r>
        <w:t xml:space="preserve"> </w:t>
      </w:r>
      <w:r>
        <w:t xml:space="preserve">shows the model results time series. The difference in the age-1 recruits (</w:t>
      </w:r>
      <w:hyperlink w:anchor="fig-spock_ts-2">
        <w:r>
          <w:rPr>
            <w:rStyle w:val="Hyperlink"/>
          </w:rPr>
          <w:t xml:space="preserve">Figure 35</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73" w:name="fig-spock_sel"/>
          <w:p>
            <w:pPr>
              <w:pStyle w:val="Compact"/>
              <w:jc w:val="center"/>
            </w:pPr>
            <w:r>
              <w:drawing>
                <wp:inline>
                  <wp:extent cx="5334000" cy="4267200"/>
                  <wp:effectExtent b="0" l="0" r="0" t="0"/>
                  <wp:docPr descr="" title="" id="171" name="Picture"/>
                  <a:graphic>
                    <a:graphicData uri="http://schemas.openxmlformats.org/drawingml/2006/picture">
                      <pic:pic>
                        <pic:nvPicPr>
                          <pic:cNvPr descr="CIE_files/figure-docx/fig-spock_sel-1.png" id="172" name="Picture"/>
                          <pic:cNvPicPr>
                            <a:picLocks noChangeArrowheads="1" noChangeAspect="1"/>
                          </pic:cNvPicPr>
                        </pic:nvPicPr>
                        <pic:blipFill>
                          <a:blip r:embed="rId17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spock_ts-1"/>
          <w:p>
            <w:pPr>
              <w:pStyle w:val="Compact"/>
              <w:jc w:val="center"/>
            </w:pPr>
            <w:r>
              <w:drawing>
                <wp:inline>
                  <wp:extent cx="5334000" cy="2667000"/>
                  <wp:effectExtent b="0" l="0" r="0" t="0"/>
                  <wp:docPr descr="" title="" id="175" name="Picture"/>
                  <a:graphic>
                    <a:graphicData uri="http://schemas.openxmlformats.org/drawingml/2006/picture">
                      <pic:pic>
                        <pic:nvPicPr>
                          <pic:cNvPr descr="CIE_files/figure-docx/fig-spock_ts-1.png" id="176" name="Picture"/>
                          <pic:cNvPicPr>
                            <a:picLocks noChangeArrowheads="1" noChangeAspect="1"/>
                          </pic:cNvPicPr>
                        </pic:nvPicPr>
                        <pic:blipFill>
                          <a:blip r:embed="rId1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SPock model.</w:t>
            </w:r>
          </w:p>
          <w:bookmarkEnd w:id="177"/>
        </w:tc>
      </w:tr>
    </w:tbl>
    <w:tbl>
      <w:tblPr>
        <w:tblStyle w:val="Table"/>
        <w:tblW w:type="pct" w:w="5000"/>
        <w:tblLayout w:type="fixed"/>
        <w:tblLook w:firstRow="0" w:lastRow="0" w:firstColumn="0" w:lastColumn="0" w:noHBand="0" w:noVBand="0" w:val="0000"/>
      </w:tblPr>
      <w:tblGrid>
        <w:gridCol w:w="7920"/>
      </w:tblGrid>
      <w:tr>
        <w:tc>
          <w:tcPr/>
          <w:bookmarkStart w:id="181" w:name="fig-spock_ts-2"/>
          <w:p>
            <w:pPr>
              <w:pStyle w:val="Compact"/>
              <w:jc w:val="center"/>
            </w:pPr>
            <w:r>
              <w:drawing>
                <wp:inline>
                  <wp:extent cx="5334000" cy="2667000"/>
                  <wp:effectExtent b="0" l="0" r="0" t="0"/>
                  <wp:docPr descr="" title="" id="179" name="Picture"/>
                  <a:graphic>
                    <a:graphicData uri="http://schemas.openxmlformats.org/drawingml/2006/picture">
                      <pic:pic>
                        <pic:nvPicPr>
                          <pic:cNvPr descr="CIE_files/figure-docx/fig-spock_ts-2.png" id="180" name="Picture"/>
                          <pic:cNvPicPr>
                            <a:picLocks noChangeArrowheads="1" noChangeAspect="1"/>
                          </pic:cNvPicPr>
                        </pic:nvPicPr>
                        <pic:blipFill>
                          <a:blip r:embed="rId1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SPock model.</w:t>
            </w:r>
          </w:p>
          <w:bookmarkEnd w:id="181"/>
        </w:tc>
      </w:tr>
    </w:tbl>
    <w:bookmarkEnd w:id="182"/>
    <w:bookmarkEnd w:id="183"/>
    <w:bookmarkStart w:id="194" w:name="X2ca98e5c32d63d527c2188348bd8baaabbd45e2"/>
    <w:p>
      <w:pPr>
        <w:pStyle w:val="Heading1"/>
      </w:pPr>
      <w:r>
        <w:t xml:space="preserve">Bottom-trawl survey spatial distribution modeling</w:t>
      </w:r>
    </w:p>
    <w:bookmarkStart w:id="188"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7" w:name="fig-sdm_index"/>
          <w:p>
            <w:pPr>
              <w:pStyle w:val="Compact"/>
              <w:jc w:val="center"/>
            </w:pPr>
            <w:r>
              <w:drawing>
                <wp:inline>
                  <wp:extent cx="5334000" cy="3578794"/>
                  <wp:effectExtent b="0" l="0" r="0" t="0"/>
                  <wp:docPr descr="" title="" id="185" name="Picture"/>
                  <a:graphic>
                    <a:graphicData uri="http://schemas.openxmlformats.org/drawingml/2006/picture">
                      <pic:pic>
                        <pic:nvPicPr>
                          <pic:cNvPr descr="figs/Vast_index_updated.png" id="186" name="Picture"/>
                          <pic:cNvPicPr>
                            <a:picLocks noChangeArrowheads="1" noChangeAspect="1"/>
                          </pic:cNvPicPr>
                        </pic:nvPicPr>
                        <pic:blipFill>
                          <a:blip r:embed="rId184"/>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revised sdmTMB model.</w:t>
            </w:r>
          </w:p>
          <w:bookmarkEnd w:id="187"/>
        </w:tc>
      </w:tr>
    </w:tbl>
    <w:bookmarkEnd w:id="188"/>
    <w:bookmarkStart w:id="193"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37</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92" w:name="fig-sdm_age"/>
          <w:p>
            <w:pPr>
              <w:pStyle w:val="Compact"/>
              <w:jc w:val="center"/>
            </w:pPr>
            <w:r>
              <w:drawing>
                <wp:inline>
                  <wp:extent cx="5334000" cy="4798793"/>
                  <wp:effectExtent b="0" l="0" r="0" t="0"/>
                  <wp:docPr descr="" title="" id="190" name="Picture"/>
                  <a:graphic>
                    <a:graphicData uri="http://schemas.openxmlformats.org/drawingml/2006/picture">
                      <pic:pic>
                        <pic:nvPicPr>
                          <pic:cNvPr descr="figs/VAST_Age_Compare.png" id="191" name="Picture"/>
                          <pic:cNvPicPr>
                            <a:picLocks noChangeArrowheads="1" noChangeAspect="1"/>
                          </pic:cNvPicPr>
                        </pic:nvPicPr>
                        <pic:blipFill>
                          <a:blip r:embed="rId189"/>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revised sdmTMB model.</w:t>
            </w:r>
          </w:p>
          <w:bookmarkEnd w:id="192"/>
        </w:tc>
      </w:tr>
    </w:tbl>
    <w:bookmarkEnd w:id="193"/>
    <w:bookmarkEnd w:id="194"/>
    <w:bookmarkStart w:id="238" w:name="references"/>
    <w:p>
      <w:pPr>
        <w:pStyle w:val="Heading1"/>
      </w:pPr>
      <w:r>
        <w:t xml:space="preserve">References</w:t>
      </w:r>
    </w:p>
    <w:bookmarkStart w:id="237" w:name="refs"/>
    <w:bookmarkStart w:id="196"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95">
        <w:r>
          <w:rPr>
            <w:rStyle w:val="Hyperlink"/>
          </w:rPr>
          <w:t xml:space="preserve">https://doi.org/10.1016/j.fishres.2022.106303</w:t>
        </w:r>
      </w:hyperlink>
      <w:r>
        <w:t xml:space="preserve">.</w:t>
      </w:r>
    </w:p>
    <w:bookmarkEnd w:id="196"/>
    <w:bookmarkStart w:id="198"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97">
        <w:r>
          <w:rPr>
            <w:rStyle w:val="Hyperlink"/>
          </w:rPr>
          <w:t xml:space="preserve">https://doi.org/10.1101/2022.03.24.485545</w:t>
        </w:r>
      </w:hyperlink>
      <w:r>
        <w:t xml:space="preserve">.</w:t>
      </w:r>
    </w:p>
    <w:bookmarkEnd w:id="198"/>
    <w:bookmarkStart w:id="199"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99"/>
    <w:bookmarkStart w:id="201"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00">
        <w:r>
          <w:rPr>
            <w:rStyle w:val="Hyperlink"/>
          </w:rPr>
          <w:t xml:space="preserve">https://doi.org/10.1111/faf.12891</w:t>
        </w:r>
      </w:hyperlink>
      <w:r>
        <w:t xml:space="preserve">.</w:t>
      </w:r>
    </w:p>
    <w:bookmarkEnd w:id="201"/>
    <w:bookmarkStart w:id="203"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02">
        <w:r>
          <w:rPr>
            <w:rStyle w:val="Hyperlink"/>
          </w:rPr>
          <w:t xml:space="preserve">https://doi.org/10.1080/10618600.1996.10474708</w:t>
        </w:r>
      </w:hyperlink>
      <w:r>
        <w:t xml:space="preserve">.</w:t>
      </w:r>
    </w:p>
    <w:bookmarkEnd w:id="203"/>
    <w:bookmarkStart w:id="204"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04"/>
    <w:bookmarkStart w:id="206"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05">
        <w:r>
          <w:rPr>
            <w:rStyle w:val="Hyperlink"/>
          </w:rPr>
          <w:t xml:space="preserve">http://florianhartig.github.io/DHARMa/</w:t>
        </w:r>
      </w:hyperlink>
      <w:r>
        <w:t xml:space="preserve">.</w:t>
      </w:r>
    </w:p>
    <w:bookmarkEnd w:id="206"/>
    <w:bookmarkStart w:id="208"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07">
        <w:r>
          <w:rPr>
            <w:rStyle w:val="Hyperlink"/>
          </w:rPr>
          <w:t xml:space="preserve">https://doi.org/10.1139/cjfas-2018-0112</w:t>
        </w:r>
      </w:hyperlink>
      <w:r>
        <w:t xml:space="preserve">.</w:t>
      </w:r>
    </w:p>
    <w:bookmarkEnd w:id="208"/>
    <w:bookmarkStart w:id="210"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09">
        <w:r>
          <w:rPr>
            <w:rStyle w:val="Hyperlink"/>
          </w:rPr>
          <w:t xml:space="preserve">https://www.npfmc.org/wp-content/PDFdocuments/SAFE/2024/EBSmultispp.pdf</w:t>
        </w:r>
      </w:hyperlink>
      <w:r>
        <w:t xml:space="preserve">.</w:t>
      </w:r>
    </w:p>
    <w:bookmarkEnd w:id="210"/>
    <w:bookmarkStart w:id="212"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11">
        <w:r>
          <w:rPr>
            <w:rStyle w:val="Hyperlink"/>
          </w:rPr>
          <w:t xml:space="preserve">http://afsc-assessments.github.io/EBSpollock/</w:t>
        </w:r>
      </w:hyperlink>
      <w:r>
        <w:t xml:space="preserve">.</w:t>
      </w:r>
    </w:p>
    <w:bookmarkEnd w:id="212"/>
    <w:bookmarkStart w:id="213"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13"/>
    <w:bookmarkStart w:id="215"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14">
        <w:r>
          <w:rPr>
            <w:rStyle w:val="Hyperlink"/>
          </w:rPr>
          <w:t xml:space="preserve">https://doi.org/10.1016/j.fishres.2012.10.012</w:t>
        </w:r>
      </w:hyperlink>
      <w:r>
        <w:t xml:space="preserve">.</w:t>
      </w:r>
    </w:p>
    <w:bookmarkEnd w:id="215"/>
    <w:bookmarkStart w:id="217"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16">
        <w:r>
          <w:rPr>
            <w:rStyle w:val="Hyperlink"/>
          </w:rPr>
          <w:t xml:space="preserve">https://doi.org/10.1016/j.fishres.2014.01.014</w:t>
        </w:r>
      </w:hyperlink>
      <w:r>
        <w:t xml:space="preserve">.</w:t>
      </w:r>
    </w:p>
    <w:bookmarkEnd w:id="217"/>
    <w:bookmarkStart w:id="219"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18">
        <w:r>
          <w:rPr>
            <w:rStyle w:val="Hyperlink"/>
          </w:rPr>
          <w:t xml:space="preserve">https://doi.org/10.1093/icesjms/fsab078</w:t>
        </w:r>
      </w:hyperlink>
      <w:r>
        <w:t xml:space="preserve">.</w:t>
      </w:r>
    </w:p>
    <w:bookmarkEnd w:id="219"/>
    <w:bookmarkStart w:id="221"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20">
        <w:r>
          <w:rPr>
            <w:rStyle w:val="Hyperlink"/>
          </w:rPr>
          <w:t xml:space="preserve">https://doi.org/10.1111/fog.12494</w:t>
        </w:r>
      </w:hyperlink>
      <w:r>
        <w:t xml:space="preserve">.</w:t>
      </w:r>
    </w:p>
    <w:bookmarkEnd w:id="221"/>
    <w:bookmarkStart w:id="222"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22"/>
    <w:bookmarkStart w:id="224"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23">
        <w:r>
          <w:rPr>
            <w:rStyle w:val="Hyperlink"/>
          </w:rPr>
          <w:t xml:space="preserve">https://doi.org/10.25923/1wwh-q418</w:t>
        </w:r>
      </w:hyperlink>
      <w:r>
        <w:t xml:space="preserve">.</w:t>
      </w:r>
    </w:p>
    <w:bookmarkEnd w:id="224"/>
    <w:bookmarkStart w:id="226"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25">
        <w:r>
          <w:rPr>
            <w:rStyle w:val="Hyperlink"/>
          </w:rPr>
          <w:t xml:space="preserve">https://doi.org/10.1016/j.fishres.2021.105967</w:t>
        </w:r>
      </w:hyperlink>
      <w:r>
        <w:t xml:space="preserve">.</w:t>
      </w:r>
    </w:p>
    <w:bookmarkEnd w:id="226"/>
    <w:bookmarkStart w:id="228"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27">
        <w:r>
          <w:rPr>
            <w:rStyle w:val="Hyperlink"/>
          </w:rPr>
          <w:t xml:space="preserve">https://doi.org/10.1139/cjfas-2017-0266</w:t>
        </w:r>
      </w:hyperlink>
      <w:r>
        <w:t xml:space="preserve">.</w:t>
      </w:r>
    </w:p>
    <w:bookmarkEnd w:id="228"/>
    <w:bookmarkStart w:id="230"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29">
        <w:r>
          <w:rPr>
            <w:rStyle w:val="Hyperlink"/>
          </w:rPr>
          <w:t xml:space="preserve">https://doi.org/10.1002/lno.11238</w:t>
        </w:r>
      </w:hyperlink>
      <w:r>
        <w:t xml:space="preserve">.</w:t>
      </w:r>
    </w:p>
    <w:bookmarkEnd w:id="230"/>
    <w:bookmarkStart w:id="231"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31"/>
    <w:bookmarkStart w:id="233"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32">
        <w:r>
          <w:rPr>
            <w:rStyle w:val="Hyperlink"/>
          </w:rPr>
          <w:t xml:space="preserve">https://doi.org/10.1016/j.fishres.2015.11.016</w:t>
        </w:r>
      </w:hyperlink>
      <w:r>
        <w:t xml:space="preserve">.</w:t>
      </w:r>
    </w:p>
    <w:bookmarkEnd w:id="233"/>
    <w:bookmarkStart w:id="235"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34">
        <w:r>
          <w:rPr>
            <w:rStyle w:val="Hyperlink"/>
          </w:rPr>
          <w:t xml:space="preserve">https://doi.org/10.1111/1365-2664.13515</w:t>
        </w:r>
      </w:hyperlink>
      <w:r>
        <w:t xml:space="preserve">.</w:t>
      </w:r>
    </w:p>
    <w:bookmarkEnd w:id="235"/>
    <w:bookmarkStart w:id="236"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36"/>
    <w:bookmarkEnd w:id="237"/>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11" Target="http://afsc-assessments.github.io/EBSpollock/" TargetMode="External" /><Relationship Type="http://schemas.openxmlformats.org/officeDocument/2006/relationships/hyperlink" Id="rId205"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9" Target="https://doi.org/10.1002/lno.11238" TargetMode="External" /><Relationship Type="http://schemas.openxmlformats.org/officeDocument/2006/relationships/hyperlink" Id="rId214" Target="https://doi.org/10.1016/j.fishres.2012.10.012" TargetMode="External" /><Relationship Type="http://schemas.openxmlformats.org/officeDocument/2006/relationships/hyperlink" Id="rId216" Target="https://doi.org/10.1016/j.fishres.2014.01.014" TargetMode="External" /><Relationship Type="http://schemas.openxmlformats.org/officeDocument/2006/relationships/hyperlink" Id="rId232" Target="https://doi.org/10.1016/j.fishres.2015.11.016" TargetMode="External" /><Relationship Type="http://schemas.openxmlformats.org/officeDocument/2006/relationships/hyperlink" Id="rId225" Target="https://doi.org/10.1016/j.fishres.2021.105967" TargetMode="External" /><Relationship Type="http://schemas.openxmlformats.org/officeDocument/2006/relationships/hyperlink" Id="rId195" Target="https://doi.org/10.1016/j.fishres.2022.106303" TargetMode="External" /><Relationship Type="http://schemas.openxmlformats.org/officeDocument/2006/relationships/hyperlink" Id="rId202" Target="https://doi.org/10.1080/10618600.1996.10474708" TargetMode="External" /><Relationship Type="http://schemas.openxmlformats.org/officeDocument/2006/relationships/hyperlink" Id="rId218" Target="https://doi.org/10.1093/icesjms/fsab078" TargetMode="External" /><Relationship Type="http://schemas.openxmlformats.org/officeDocument/2006/relationships/hyperlink" Id="rId197" Target="https://doi.org/10.1101/2022.03.24.485545" TargetMode="External" /><Relationship Type="http://schemas.openxmlformats.org/officeDocument/2006/relationships/hyperlink" Id="rId234" Target="https://doi.org/10.1111/1365-2664.13515" TargetMode="External" /><Relationship Type="http://schemas.openxmlformats.org/officeDocument/2006/relationships/hyperlink" Id="rId200" Target="https://doi.org/10.1111/faf.12891" TargetMode="External" /><Relationship Type="http://schemas.openxmlformats.org/officeDocument/2006/relationships/hyperlink" Id="rId220" Target="https://doi.org/10.1111/fog.12494" TargetMode="External" /><Relationship Type="http://schemas.openxmlformats.org/officeDocument/2006/relationships/hyperlink" Id="rId227" Target="https://doi.org/10.1139/cjfas-2017-0266" TargetMode="External" /><Relationship Type="http://schemas.openxmlformats.org/officeDocument/2006/relationships/hyperlink" Id="rId207" Target="https://doi.org/10.1139/cjfas-2018-0112" TargetMode="External" /><Relationship Type="http://schemas.openxmlformats.org/officeDocument/2006/relationships/hyperlink" Id="rId223"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56" Target="https://github.com/noaa-afsc/EBS_pollock/tree/main/runs/wham" TargetMode="External" /><Relationship Type="http://schemas.openxmlformats.org/officeDocument/2006/relationships/hyperlink" Id="rId209"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11" Target="http://afsc-assessments.github.io/EBSpollock/" TargetMode="External" /><Relationship Type="http://schemas.openxmlformats.org/officeDocument/2006/relationships/hyperlink" Id="rId205"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29" Target="https://doi.org/10.1002/lno.11238" TargetMode="External" /><Relationship Type="http://schemas.openxmlformats.org/officeDocument/2006/relationships/hyperlink" Id="rId214" Target="https://doi.org/10.1016/j.fishres.2012.10.012" TargetMode="External" /><Relationship Type="http://schemas.openxmlformats.org/officeDocument/2006/relationships/hyperlink" Id="rId216" Target="https://doi.org/10.1016/j.fishres.2014.01.014" TargetMode="External" /><Relationship Type="http://schemas.openxmlformats.org/officeDocument/2006/relationships/hyperlink" Id="rId232" Target="https://doi.org/10.1016/j.fishres.2015.11.016" TargetMode="External" /><Relationship Type="http://schemas.openxmlformats.org/officeDocument/2006/relationships/hyperlink" Id="rId225" Target="https://doi.org/10.1016/j.fishres.2021.105967" TargetMode="External" /><Relationship Type="http://schemas.openxmlformats.org/officeDocument/2006/relationships/hyperlink" Id="rId195" Target="https://doi.org/10.1016/j.fishres.2022.106303" TargetMode="External" /><Relationship Type="http://schemas.openxmlformats.org/officeDocument/2006/relationships/hyperlink" Id="rId202" Target="https://doi.org/10.1080/10618600.1996.10474708" TargetMode="External" /><Relationship Type="http://schemas.openxmlformats.org/officeDocument/2006/relationships/hyperlink" Id="rId218" Target="https://doi.org/10.1093/icesjms/fsab078" TargetMode="External" /><Relationship Type="http://schemas.openxmlformats.org/officeDocument/2006/relationships/hyperlink" Id="rId197" Target="https://doi.org/10.1101/2022.03.24.485545" TargetMode="External" /><Relationship Type="http://schemas.openxmlformats.org/officeDocument/2006/relationships/hyperlink" Id="rId234" Target="https://doi.org/10.1111/1365-2664.13515" TargetMode="External" /><Relationship Type="http://schemas.openxmlformats.org/officeDocument/2006/relationships/hyperlink" Id="rId200" Target="https://doi.org/10.1111/faf.12891" TargetMode="External" /><Relationship Type="http://schemas.openxmlformats.org/officeDocument/2006/relationships/hyperlink" Id="rId220" Target="https://doi.org/10.1111/fog.12494" TargetMode="External" /><Relationship Type="http://schemas.openxmlformats.org/officeDocument/2006/relationships/hyperlink" Id="rId227" Target="https://doi.org/10.1139/cjfas-2017-0266" TargetMode="External" /><Relationship Type="http://schemas.openxmlformats.org/officeDocument/2006/relationships/hyperlink" Id="rId207" Target="https://doi.org/10.1139/cjfas-2018-0112" TargetMode="External" /><Relationship Type="http://schemas.openxmlformats.org/officeDocument/2006/relationships/hyperlink" Id="rId223"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56" Target="https://github.com/noaa-afsc/EBS_pollock/tree/main/runs/wham" TargetMode="External" /><Relationship Type="http://schemas.openxmlformats.org/officeDocument/2006/relationships/hyperlink" Id="rId209"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2025-05-20T15:49:12Z</dcterms:created>
  <dcterms:modified xsi:type="dcterms:W3CDTF">2025-05-20T15:49:12Z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