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Mean model runtimes in seconds (95% CI). Runtimes were calculated across 2,000 iterations for single-core models and 1,000 iterations for multi-core models, with the exception of the mvobserver model (3,000 multi-core iterations). Due to non-convergence, the sample size for the gllvm model with a latent variable was reduced to N=1,903 (single-core) and N=948 (multi-core).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52"/>
        <w:gridCol w:w="2207"/>
        <w:gridCol w:w="1877"/>
        <w:gridCol w:w="2207"/>
        <w:gridCol w:w="2207"/>
      </w:tblGrid>
      <w:tr>
        <w:trPr>
          <w:trHeight w:val="563" w:hRule="auto"/>
          <w:tblHeader/>
        </w:trPr>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 latent variable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With latent variable</w:t>
            </w:r>
          </w:p>
        </w:tc>
      </w:tr>
      <w:tr>
        <w:trPr>
          <w:trHeight w:val="607" w:hRule="auto"/>
          <w:tblHeader/>
        </w:trPr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Multi core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Single core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Multi core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Single core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gllvm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 (1.38, 1.40)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 (0.85, 0.85)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45.52 (45.18, 45.86)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28.97 (28.90, 29.03)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glmm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 (0.83, 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 (0.78, 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 (2.11, 2.15)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 (1.30, 1.31)</w:t>
            </w:r>
          </w:p>
        </w:tc>
      </w:tr>
      <w:tr>
        <w:trPr>
          <w:trHeight w:val="61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mvobservr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31.25 (31.18, 31.32)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2026-07-22T11:52:08Z</dcterms:modified>
  <cp:category/>
</cp:coreProperties>
</file>