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Mean model runtimes in seconds (95% CI). Runtimes were calculated across 2,000 iterations for single-core models and 1,000 iterations for multi-core models, with the exception of the mvobserver model (3,000 multi-core iterations). Due to non-convergence, the sample size for the gllvm model with a latent variable was reduced to N=1,903 (single-core) and N=948 (multi-core).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2207"/>
        <w:gridCol w:w="1877"/>
        <w:gridCol w:w="2207"/>
        <w:gridCol w:w="2207"/>
      </w:tblGrid>
      <w:tr>
        <w:trPr>
          <w:trHeight w:val="563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latent variable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latent variable</w:t>
            </w:r>
          </w:p>
        </w:tc>
      </w:tr>
      <w:tr>
        <w:trPr>
          <w:trHeight w:val="607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Multi core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Single core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Multi core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Single core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gllvm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(0.85, 0.85)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 (1.38, 1.40)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28.97 (28.90, 29.03)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45.52 (45.18, 45.86)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 (0.78, 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(0.83,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(1.30,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 (2.11, 2.15)</w:t>
            </w:r>
          </w:p>
        </w:tc>
      </w:tr>
      <w:tr>
        <w:trPr>
          <w:trHeight w:val="61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mvobservr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31.25 (31.18, 31.32)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2026-07-31T16:19:40Z</dcterms:modified>
  <cp:category/>
</cp:coreProperties>
</file>