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Offloads, Days, Trips, Samples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6,924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2025-04-11T15:33:47Z</dcterms:modified>
  <cp:category/>
</cp:coreProperties>
</file>