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ADP</w:t>
      </w:r>
      <w:r>
        <w:t xml:space="preserve"> </w:t>
      </w:r>
      <w:r>
        <w:t xml:space="preserve">Tables</w:t>
      </w:r>
    </w:p>
    <w:p>
      <w:pPr>
        <w:pStyle w:val="Date"/>
      </w:pPr>
      <w:r>
        <w:t xml:space="preserve">2024-Nov-21</w:t>
      </w:r>
    </w:p>
    <w:p>
      <w:r>
        <w:br w:type="page"/>
      </w:r>
    </w:p>
    <w:p>
      <w:pPr>
        <w:pStyle w:val="FirstParagraph"/>
      </w:pPr>
      <w:r>
        <w:t xml:space="preserve">Table B-1. Budget allocation and vessel participation. The preliminary budget through the observer fee and NMFS funds for monitoring (both observer and EM) is $4.4 million. The number of vessels participating is estimated as the number of unique vessels that fished within each stratum within 365 days prior to the completion of the analyses. Some vessels may fish in multiple strata (e.g., a fixed-gear vessel may fish within the at-sea observer fixed-gear GOA and BSAI strata.)</w:t>
      </w:r>
    </w:p>
    <w:tbl xmlns:w14="http://schemas.microsoft.com/office/word/2010/wordml">
      <w:tblPr>
        <w:tblLayout w:type="fixed"/>
        <w:jc w:val="center"/>
        <w:tblLook w:firstRow="1" w:lastRow="0" w:firstColumn="0" w:lastColumn="0" w:noHBand="0" w:noVBand="1"/>
      </w:tblPr>
      <w:tblGrid>
        <w:gridCol w:w="4430"/>
        <w:gridCol w:w="2237"/>
        <w:gridCol w:w="2237"/>
      </w:tblGrid>
      <w:tr>
        <w:trPr>
          <w:trHeight w:val="5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Final 2025 ADP</w:t>
            </w:r>
          </w:p>
        </w:tc>
      </w:tr>
      <w:tr>
        <w:trPr>
          <w:trHeight w:val="625" w:hRule="auto"/>
        </w:trPr>
        body 1
        <w:tc>
          <w:tcPr>
            <w:gridSpan w:val="3"/>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Partial Coverage Monitoring Budget</w:t>
            </w:r>
          </w:p>
        </w:tc>
      </w:tr>
      <w:tr>
        <w:trPr>
          <w:trHeight w:val="62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$2,628,000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$2,314,000</w:t>
            </w:r>
          </w:p>
        </w:tc>
      </w:tr>
      <w:tr>
        <w:trPr>
          <w:trHeight w:val="62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$964,000</w:t>
            </w:r>
          </w:p>
        </w:tc>
      </w:tr>
      <w:tr>
        <w:trPr>
          <w:trHeight w:val="62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$795,000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$911,000</w:t>
            </w:r>
          </w:p>
        </w:tc>
      </w:tr>
      <w:tr>
        <w:trPr>
          <w:trHeight w:val="623" w:hRule="auto"/>
        </w:trPr>
        body 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$4,400,000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$4,189,000</w:t>
            </w:r>
          </w:p>
        </w:tc>
      </w:tr>
      <w:tr>
        <w:trPr>
          <w:trHeight w:val="625" w:hRule="auto"/>
        </w:trPr>
        body 6
        <w:tc>
          <w:tcPr>
            <w:gridSpan w:val="3"/>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Vessels Participating (Partial Coverage)</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45</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3</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46</w:t>
            </w:r>
          </w:p>
        </w:tc>
      </w:tr>
      <w:tr>
        <w:trPr>
          <w:trHeight w:val="62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9</w:t>
            </w:r>
          </w:p>
        </w:tc>
      </w:tr>
      <w:tr>
        <w:trPr>
          <w:trHeight w:val="62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117</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53</w:t>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No-selection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290</w:t>
            </w:r>
          </w:p>
        </w:tc>
      </w:tr>
      <w:tr>
        <w:trPr>
          <w:trHeight w:val="625" w:hRule="auto"/>
        </w:trPr>
        body15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Vessels Participating (Full Coverage)</w:t>
            </w:r>
          </w:p>
        </w:tc>
      </w:tr>
      <w:tr>
        <w:trPr>
          <w:trHeight w:val="62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Full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73</w:t>
            </w:r>
          </w:p>
        </w:tc>
      </w:tr>
      <w:tr>
        <w:trPr>
          <w:trHeight w:val="581"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EM Trawl BSAI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ab/>
            </w:r>
            <w:r>
              <w:rPr>
                <w:rFonts w:ascii="Times New Roman" w:hAnsi="Arial" w:eastAsia="Arial" w:cs="Arial"/>
                <w:i w:val="false"/>
                <w:b w:val="false"/>
                <w:u w:val="none"/>
                <w:sz w:val="24"/>
                <w:szCs w:val="24"/>
                <w:color w:val="000000"/>
              </w:rPr>
              <w:t xml:space="preserve">66</w:t>
            </w:r>
          </w:p>
        </w:tc>
      </w:tr>
    </w:tbl>
    <w:p>
      <w:r>
        <w:br w:type="page"/>
      </w:r>
    </w:p>
    <w:p>
      <w:pPr>
        <w:pStyle w:val="BodyText"/>
      </w:pPr>
      <w:r>
        <w:t xml:space="preserve">Table B-2. Partial coverage allocation indices, including the estimated numbers of trips in a stratum (</w:t>
      </w:r>
      <m:oMath>
        <m:sSub>
          <m:e>
            <m:r>
              <m:t>N</m:t>
            </m:r>
          </m:e>
          <m:sub>
            <m:r>
              <m:t>h</m:t>
            </m:r>
          </m:sub>
        </m:sSub>
      </m:oMath>
      <w:r>
        <w:t xml:space="preserve">), monitoring rates (</w:t>
      </w:r>
      <m:oMath>
        <m:sSub>
          <m:e>
            <m:r>
              <m:t>r</m:t>
            </m:r>
          </m:e>
          <m:sub>
            <m:r>
              <m:t>h</m:t>
            </m:r>
          </m:sub>
        </m:sSub>
      </m:oMath>
      <w:r>
        <w:t xml:space="preserve">), number of observed or monitored trips (</w:t>
      </w:r>
      <m:oMath>
        <m:sSub>
          <m:e>
            <m:r>
              <m:t>n</m:t>
            </m:r>
          </m:e>
          <m:sub>
            <m:r>
              <m:t>h</m:t>
            </m:r>
          </m:sub>
        </m:sSub>
      </m:oMath>
      <w:r>
        <w:t xml:space="preserve">), the proximity indices (</w:t>
      </w:r>
      <m:oMath>
        <m:sSub>
          <m:e>
            <m:acc>
              <m:accPr>
                <m:chr m:val="̂"/>
              </m:accPr>
              <m:e>
                <m:r>
                  <m:t>T</m:t>
                </m:r>
              </m:e>
            </m:acc>
          </m:e>
          <m:sub>
            <m:r>
              <m:t>h</m:t>
            </m:r>
          </m:sub>
        </m:sSub>
      </m:oMath>
      <w:r>
        <w:t xml:space="preserve">), variance scaling factor (</w:t>
      </w:r>
      <m:oMath>
        <m:sSub>
          <m:e>
            <m:r>
              <m:t>F</m:t>
            </m:r>
          </m:e>
          <m:sub>
            <m:r>
              <m:t>h</m:t>
            </m:r>
          </m:sub>
        </m:sSub>
      </m:oMath>
      <w:r>
        <w:t xml:space="preserve">), and proximity allocation index (</w:t>
      </w:r>
      <m:oMath>
        <m:sSub>
          <m:e>
            <m:acc>
              <m:accPr>
                <m:chr m:val="̂"/>
              </m:accPr>
              <m:e>
                <m:r>
                  <m:t>D</m:t>
                </m:r>
              </m:e>
            </m:acc>
          </m:e>
          <m:sub>
            <m:r>
              <m:t>h</m:t>
            </m:r>
          </m:sub>
        </m:sSub>
      </m:oMath>
      <w:r>
        <w:t xml:space="preserve">).</w:t>
      </w:r>
    </w:p>
    <w:tbl xmlns:w14="http://schemas.microsoft.com/office/word/2010/wordml">
      <w:tblPr>
        <w:tblLayout w:type="fixed"/>
        <w:jc w:val="center"/>
        <w:tblLook w:firstRow="1" w:lastRow="0" w:firstColumn="0" w:lastColumn="0" w:noHBand="0" w:noVBand="1"/>
      </w:tblPr>
      <w:tblGrid>
        <w:gridCol w:w="3683"/>
        <w:gridCol w:w="1251"/>
        <w:gridCol w:w="951"/>
        <w:gridCol w:w="1071"/>
        <w:gridCol w:w="1071"/>
        <w:gridCol w:w="1071"/>
        <w:gridCol w:w="1071"/>
      </w:tblGrid>
      <w:tr>
        <w:trPr>
          <w:trHeight w:val="62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Stratum</w:t>
            </w:r>
            <w:r>
              <w:rPr>
                <w:rFonts w:ascii="Times New Roman" w:hAnsi="Arial" w:eastAsia="Arial" w:cs="Arial"/>
                <w:i w:val="false"/>
                <w:b w:val="false"/>
                <w:u w:val="none"/>
                <w:sz w:val="24"/>
                <w:szCs w:val="24"/>
                <w:color w:val="000000"/>
              </w:rPr>
              <w:t xml:space="preserve"> (</w:t>
            </w:r>
            <w:r>
              <w:rPr>
                <w:rFonts w:ascii="Times New Roman" w:hAnsi="Arial" w:eastAsia="Arial" w:cs="Arial"/>
                <w:i w:val="true"/>
                <w:b w:val="false"/>
                <w:u w:val="none"/>
                <w:sz w:val="24"/>
                <w:szCs w:val="24"/>
                <w:color w:val="000000"/>
              </w:rPr>
              <w:t xml:space="preserve">h</w:t>
            </w:r>
            <w:r>
              <w:rPr>
                <w:rFonts w:ascii="Times New Roman" w:hAnsi="Arial" w:eastAsia="Arial" w:cs="Arial"/>
                <w:i w:val="false"/>
                <w:b w:val="false"/>
                <w:u w:val="none"/>
                <w:sz w:val="24"/>
                <w:szCs w:val="24"/>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r</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T̂</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F</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D̂</w:t>
            </w:r>
            <w:r>
              <w:rPr>
                <w:rFonts w:ascii="Times New Roman" w:hAnsi="Arial" w:eastAsia="Arial" w:cs="Arial"/>
                <w:i w:val="true"/>
                <w:b w:val="false"/>
                <w:u w:val="none"/>
                <w:vertAlign w:val="subscript"/>
                <w:sz w:val="24"/>
                <w:szCs w:val="24"/>
                <w:color w:val="000000"/>
              </w:rPr>
              <w:t xml:space="preserve">h</w:t>
            </w:r>
          </w:p>
        </w:tc>
      </w:tr>
      <w:tr>
        <w:trPr>
          <w:trHeight w:val="576"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263.67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52.19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0.8481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0.1239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58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0.9772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r>
        <w:trPr>
          <w:trHeight w:val="629"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903.60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0.8202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0.0942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0.7430</w:t>
            </w:r>
          </w:p>
        </w:tc>
      </w:tr>
    </w:tbl>
    <w:p>
      <w:r>
        <w:br w:type="page"/>
      </w:r>
    </w:p>
    <w:p>
      <w:pPr>
        <w:pStyle w:val="BodyText"/>
      </w:pPr>
      <w:r>
        <w:t xml:space="preserve">Table B-3. Summary of monitoring rates. Estimated numbers of trips in a stratum (</w:t>
      </w:r>
      <m:oMath>
        <m:sSub>
          <m:e>
            <m:r>
              <m:t>N</m:t>
            </m:r>
          </m:e>
          <m:sub>
            <m:r>
              <m:t>h</m:t>
            </m:r>
          </m:sub>
        </m:sSub>
      </m:oMath>
      <w:r>
        <w:t xml:space="preserve">), number of observed or monitored trips (</w:t>
      </w:r>
      <m:oMath>
        <m:sSub>
          <m:e>
            <m:r>
              <m:t>n</m:t>
            </m:r>
          </m:e>
          <m:sub>
            <m:r>
              <m:t>h</m:t>
            </m:r>
          </m:sub>
        </m:sSub>
      </m:oMath>
      <w:r>
        <w:t xml:space="preserve">), observed or monitored days (</w:t>
      </w:r>
      <m:oMath>
        <m:sSub>
          <m:e>
            <m:r>
              <m:t>d</m:t>
            </m:r>
          </m:e>
          <m:sub>
            <m:r>
              <m:t>h</m:t>
            </m:r>
          </m:sub>
        </m:sSub>
      </m:oMath>
      <w:r>
        <w:t xml:space="preserve">), and monitoring rates (</w:t>
      </w:r>
      <m:oMath>
        <m:sSub>
          <m:e>
            <m:r>
              <m:t>r</m:t>
            </m:r>
          </m:e>
          <m:sub>
            <m:r>
              <m:t>h</m:t>
            </m:r>
          </m:sub>
        </m:sSub>
      </m:oMath>
      <w:r>
        <w:t xml:space="preserve">) resulting from the deployment sampling design described in the text for 2025.</w:t>
      </w:r>
    </w:p>
    <w:tbl xmlns:w14="http://schemas.microsoft.com/office/word/2010/wordml">
      <w:tblPr>
        <w:tblLayout w:type="fixed"/>
        <w:jc w:val="center"/>
        <w:tblLook w:firstRow="1" w:lastRow="0" w:firstColumn="0" w:lastColumn="0" w:noHBand="0" w:noVBand="1"/>
      </w:tblPr>
      <w:tblGrid>
        <w:gridCol w:w="3683"/>
        <w:gridCol w:w="951"/>
        <w:gridCol w:w="951"/>
        <w:gridCol w:w="1071"/>
        <w:gridCol w:w="1071"/>
      </w:tblGrid>
      <w:tr>
        <w:trPr>
          <w:trHeight w:val="58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Stratum</w:t>
            </w:r>
            <w:r>
              <w:rPr>
                <w:rFonts w:ascii="Times New Roman" w:hAnsi="Arial" w:eastAsia="Arial" w:cs="Arial"/>
                <w:i w:val="false"/>
                <w:b w:val="false"/>
                <w:u w:val="none"/>
                <w:sz w:val="24"/>
                <w:szCs w:val="24"/>
                <w:color w:val="000000"/>
              </w:rPr>
              <w:t xml:space="preserve"> (</w:t>
            </w:r>
            <w:r>
              <w:rPr>
                <w:rFonts w:ascii="Times New Roman" w:hAnsi="Arial" w:eastAsia="Arial" w:cs="Arial"/>
                <w:i w:val="true"/>
                <w:b w:val="false"/>
                <w:u w:val="none"/>
                <w:sz w:val="24"/>
                <w:szCs w:val="24"/>
                <w:color w:val="000000"/>
              </w:rPr>
              <w:t xml:space="preserve">h</w:t>
            </w:r>
            <w:r>
              <w:rPr>
                <w:rFonts w:ascii="Times New Roman" w:hAnsi="Arial" w:eastAsia="Arial" w:cs="Arial"/>
                <w:i w:val="false"/>
                <w:b w:val="false"/>
                <w:u w:val="none"/>
                <w:sz w:val="24"/>
                <w:szCs w:val="24"/>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n</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d</w:t>
            </w:r>
            <w:r>
              <w:rPr>
                <w:rFonts w:ascii="Times New Roman" w:hAnsi="Arial" w:eastAsia="Arial" w:cs="Arial"/>
                <w:i w:val="true"/>
                <w:b w:val="false"/>
                <w:u w:val="none"/>
                <w:vertAlign w:val="subscript"/>
                <w:sz w:val="24"/>
                <w:szCs w:val="24"/>
                <w:color w:val="000000"/>
              </w:rPr>
              <w:t xml:space="preserve">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true"/>
                <w:b w:val="false"/>
                <w:u w:val="none"/>
                <w:sz w:val="24"/>
                <w:szCs w:val="24"/>
                <w:color w:val="000000"/>
              </w:rPr>
              <w:t xml:space="preserve">r</w:t>
            </w:r>
            <w:r>
              <w:rPr>
                <w:rFonts w:ascii="Times New Roman" w:hAnsi="Arial" w:eastAsia="Arial" w:cs="Arial"/>
                <w:i w:val="true"/>
                <w:b w:val="false"/>
                <w:u w:val="none"/>
                <w:vertAlign w:val="subscript"/>
                <w:sz w:val="24"/>
                <w:szCs w:val="24"/>
                <w:color w:val="000000"/>
              </w:rPr>
              <w:t xml:space="preserve">h</w:t>
            </w:r>
            <w:r>
              <w:rPr>
                <w:rFonts w:ascii="Times New Roman" w:hAnsi="Arial" w:eastAsia="Arial" w:cs="Arial"/>
                <w:i w:val="false"/>
                <w:b w:val="false"/>
                <w:u w:val="none"/>
                <w:sz w:val="24"/>
                <w:szCs w:val="24"/>
                <w:color w:val="000000"/>
              </w:rPr>
              <w:t xml:space="preserve"> (%)</w:t>
            </w:r>
          </w:p>
        </w:tc>
      </w:tr>
      <w:tr>
        <w:trPr>
          <w:trHeight w:val="581"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Draft 2025 ADP</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22.82</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7.31</w:t>
            </w:r>
          </w:p>
        </w:tc>
      </w:tr>
      <w:tr>
        <w:trPr>
          <w:trHeight w:val="58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47.36</w:t>
            </w:r>
          </w:p>
        </w:tc>
      </w:tr>
      <w:tr>
        <w:trPr>
          <w:trHeight w:val="58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11.76</w:t>
            </w:r>
          </w:p>
        </w:tc>
      </w:tr>
      <w:tr>
        <w:trPr>
          <w:trHeight w:val="613" w:hRule="auto"/>
        </w:trPr>
        body 5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2,450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1,343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9.92</w:t>
            </w:r>
          </w:p>
        </w:tc>
      </w:tr>
      <w:tr>
        <w:trPr>
          <w:trHeight w:val="629" w:hRule="auto"/>
        </w:trPr>
        body 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47.66</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12.59</w:t>
            </w:r>
          </w:p>
        </w:tc>
      </w:tr>
      <w:tr>
        <w:trPr>
          <w:trHeight w:val="581"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953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15.11</w:t>
            </w:r>
          </w:p>
        </w:tc>
      </w:tr>
      <w:tr>
        <w:trPr>
          <w:trHeight w:val="613" w:hRule="auto"/>
        </w:trPr>
        body 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GOA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984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328</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2,446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33.33</w:t>
            </w:r>
          </w:p>
        </w:tc>
      </w:tr>
      <w:tr>
        <w:trPr>
          <w:trHeight w:val="613" w:hRule="auto"/>
        </w:trPr>
        body10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No-selection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1,389</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0.00</w:t>
            </w:r>
          </w:p>
        </w:tc>
      </w:tr>
      <w:tr>
        <w:trPr>
          <w:trHeight w:val="613" w:hRule="auto"/>
        </w:trPr>
        body11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Full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918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10,284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body13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2,590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2,590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16,058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100.00</w:t>
            </w:r>
          </w:p>
        </w:tc>
      </w:tr>
      <w:tr>
        <w:trPr>
          <w:trHeight w:val="580" w:hRule="auto"/>
        </w:trPr>
        body14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Final 2025 ADP</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
            </w:r>
          </w:p>
        </w:tc>
      </w:tr>
      <w:tr>
        <w:trPr>
          <w:trHeight w:val="629" w:hRule="auto"/>
        </w:trPr>
        body15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19.83</w:t>
            </w:r>
          </w:p>
        </w:tc>
      </w:tr>
      <w:tr>
        <w:trPr>
          <w:trHeight w:val="62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6.16</w:t>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40.39</w:t>
            </w:r>
          </w:p>
        </w:tc>
      </w:tr>
      <w:tr>
        <w:trPr>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At-sea Observer Trawl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15.45</w:t>
            </w:r>
          </w:p>
        </w:tc>
      </w:tr>
      <w:tr>
        <w:trPr>
          <w:trHeight w:val="613" w:hRule="auto"/>
        </w:trPr>
        body19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2,369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1,127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8.86</w:t>
            </w:r>
          </w:p>
        </w:tc>
      </w:tr>
      <w:tr>
        <w:trPr>
          <w:trHeight w:val="629" w:hRule="auto"/>
        </w:trPr>
        body20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BSAI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47.91</w:t>
            </w:r>
          </w:p>
        </w:tc>
      </w:tr>
      <w:tr>
        <w:trPr>
          <w:trHeight w:val="62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Fixed-gear 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11.11</w:t>
            </w:r>
          </w:p>
        </w:tc>
      </w:tr>
      <w:tr>
        <w:trPr>
          <w:trHeight w:val="581" w:hRule="auto"/>
        </w:trPr>
        body22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917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733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13.52</w:t>
            </w:r>
          </w:p>
        </w:tc>
      </w:tr>
      <w:tr>
        <w:trPr>
          <w:trHeight w:val="613" w:hRule="auto"/>
        </w:trPr>
        body23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No-selection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1,453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0.00</w:t>
            </w:r>
          </w:p>
        </w:tc>
      </w:tr>
      <w:tr>
        <w:trPr>
          <w:trHeight w:val="613" w:hRule="auto"/>
        </w:trPr>
        body24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GOA</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886</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295</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2,860</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33.33</w:t>
            </w:r>
          </w:p>
        </w:tc>
      </w:tr>
      <w:tr>
        <w:trPr>
          <w:trHeight w:val="613" w:hRule="auto"/>
        </w:trPr>
        body25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Full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847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9,902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EM Trawl BSAI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6,089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false"/>
                <w:u w:val="none"/>
                <w:sz w:val="24"/>
                <w:szCs w:val="24"/>
                <w:color w:val="000000"/>
              </w:rPr>
            </w:pPr>
            <w:r>
              <w:rPr>
                <w:rFonts w:ascii="Times New Roman" w:hAnsi="Arial" w:eastAsia="Arial" w:cs="Arial"/>
                <w:i w:val="false"/>
                <w:b w:val="false"/>
                <w:u w:val="none"/>
                <w:sz w:val="24"/>
                <w:szCs w:val="24"/>
                <w:color w:val="000000"/>
              </w:rPr>
              <w:t xml:space="preserve">100.00</w:t>
            </w:r>
          </w:p>
        </w:tc>
      </w:tr>
      <w:tr>
        <w:trPr>
          <w:trHeight w:val="613" w:hRule="auto"/>
        </w:trPr>
        body27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ab/>
            </w:r>
            <w:r>
              <w:rPr>
                <w:rFonts w:ascii="Times New Roman" w:hAnsi="Arial" w:eastAsia="Arial" w:cs="Arial"/>
                <w:i w:val="false"/>
                <w:b w:val="true"/>
                <w:u w:val="none"/>
                <w:sz w:val="24"/>
                <w:szCs w:val="24"/>
                <w:color w:val="000000"/>
              </w:rPr>
              <w:t xml:space="preserve">Total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2,602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15,991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Arial" w:eastAsia="Arial" w:cs="Arial"/>
                <w:i w:val="false"/>
                <w:b w:val="true"/>
                <w:u w:val="none"/>
                <w:sz w:val="24"/>
                <w:szCs w:val="24"/>
                <w:color w:val="000000"/>
              </w:rPr>
            </w:pPr>
            <w:r>
              <w:rPr>
                <w:rFonts w:ascii="Times New Roman" w:hAnsi="Arial" w:eastAsia="Arial" w:cs="Arial"/>
                <w:i w:val="false"/>
                <w:b w:val="true"/>
                <w:u w:val="none"/>
                <w:sz w:val="24"/>
                <w:szCs w:val="24"/>
                <w:color w:val="000000"/>
              </w:rPr>
              <w:t xml:space="preserve">100.00</w:t>
            </w:r>
          </w:p>
        </w:tc>
      </w:tr>
    </w:tbl>
    <w:sectPr w:rsidR="00A559CA" w:rsidSect="005A6332">
      <w:footerReference r:id="rId9" w:type="default"/>
      <w:pgSz w:h="15840" w:w="12240"/>
      <w:pgMar w:bottom="1440" w:footer="720" w:gutter="0" w:header="720" w:left="1440" w:right="1440" w:top="1440"/>
      <w:cols w:space="720"/>
      <w:docGrid w:linePitch="326"/>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48013"/>
      <w:docPartObj>
        <w:docPartGallery w:val="Page Numbers (Bottom of Page)"/>
        <w:docPartUnique/>
      </w:docPartObj>
    </w:sdtPr>
    <w:sdtEndPr>
      <w:rPr>
        <w:noProof/>
      </w:rPr>
    </w:sdtEndPr>
    <w:sdtContent>
      <w:p w:rsidR="002C3E90" w:rsidRDefault="002C3E90">
        <w:pPr>
          <w:pStyle w:val="Footer"/>
          <w:jc w:val="center"/>
        </w:pPr>
        <w:r>
          <w:fldChar w:fldCharType="begin"/>
        </w:r>
        <w:r>
          <w:instrText xml:space="preserve"> PAGE   \* MERGEFORMAT </w:instrText>
        </w:r>
        <w:r>
          <w:fldChar w:fldCharType="separate"/>
        </w:r>
        <w:r w:rsidR="00317A5C">
          <w:rPr>
            <w:noProof/>
          </w:rPr>
          <w:t>1</w:t>
        </w:r>
        <w:r>
          <w:rPr>
            <w:noProof/>
          </w:rPr>
          <w:fldChar w:fldCharType="end"/>
        </w:r>
      </w:p>
    </w:sdtContent>
  </w:sdt>
  <w:p w:rsidR="002C3E90" w:rsidRDefault="002C3E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E480933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9EE37B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6E0DA3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D76556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5FAAC2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B088B5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3482B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2BAB19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E45B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DB0E7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8C6F60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17A5C"/>
    <w:pPr>
      <w:spacing w:after="120" w:before="120"/>
    </w:pPr>
    <w:rPr>
      <w:rFonts w:ascii="Times New Roman" w:hAnsi="Times New Roman"/>
    </w:rPr>
  </w:style>
  <w:style w:styleId="Heading1" w:type="paragraph">
    <w:name w:val="heading 1"/>
    <w:basedOn w:val="Normal"/>
    <w:next w:val="BodyText"/>
    <w:uiPriority w:val="9"/>
    <w:qFormat/>
    <w:rsid w:val="00317A5C"/>
    <w:pPr>
      <w:keepNext/>
      <w:keepLines/>
      <w:spacing w:after="0" w:before="480"/>
      <w:outlineLvl w:val="0"/>
    </w:pPr>
    <w:rPr>
      <w:rFonts w:cstheme="majorBidi" w:eastAsiaTheme="majorEastAsia"/>
      <w:b/>
      <w:bCs/>
      <w:color w:themeColor="accent1" w:themeShade="B5" w:val="345A8A"/>
      <w:sz w:val="30"/>
      <w:szCs w:val="32"/>
    </w:rPr>
  </w:style>
  <w:style w:styleId="Heading2" w:type="paragraph">
    <w:name w:val="heading 2"/>
    <w:basedOn w:val="Normal"/>
    <w:next w:val="BodyText"/>
    <w:uiPriority w:val="9"/>
    <w:unhideWhenUsed/>
    <w:qFormat/>
    <w:rsid w:val="00317A5C"/>
    <w:pPr>
      <w:keepNext/>
      <w:keepLines/>
      <w:spacing w:after="0" w:before="200"/>
      <w:outlineLvl w:val="1"/>
    </w:pPr>
    <w:rPr>
      <w:rFonts w:cstheme="majorBidi" w:eastAsiaTheme="majorEastAsia"/>
      <w:b/>
      <w:bCs/>
      <w:sz w:val="26"/>
      <w:szCs w:val="32"/>
    </w:rPr>
  </w:style>
  <w:style w:styleId="Heading3" w:type="paragraph">
    <w:name w:val="heading 3"/>
    <w:basedOn w:val="Normal"/>
    <w:next w:val="BodyText"/>
    <w:uiPriority w:val="9"/>
    <w:unhideWhenUsed/>
    <w:qFormat/>
    <w:rsid w:val="00317A5C"/>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17A5C"/>
    <w:rPr>
      <w:rFonts w:cs="Times New Roman"/>
      <w:szCs w:val="22"/>
    </w:rPr>
  </w:style>
  <w:style w:customStyle="1" w:styleId="FirstParagraph" w:type="paragraph">
    <w:name w:val="First Paragraph"/>
    <w:basedOn w:val="BodyText"/>
    <w:next w:val="BodyText"/>
    <w:qFormat/>
    <w:rsid w:val="0004147C"/>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17A5C"/>
    <w:rPr>
      <w:rFonts w:ascii="Times New Roman" w:cs="Times New Roman" w:hAnsi="Times New Roman"/>
      <w:szCs w:val="22"/>
    </w:rPr>
  </w:style>
  <w:style w:styleId="Header" w:type="paragraph">
    <w:name w:val="header"/>
    <w:basedOn w:val="Normal"/>
    <w:link w:val="HeaderChar"/>
    <w:unhideWhenUsed/>
    <w:rsid w:val="002C3E90"/>
    <w:pPr>
      <w:tabs>
        <w:tab w:pos="4680" w:val="center"/>
        <w:tab w:pos="9360" w:val="right"/>
      </w:tabs>
      <w:spacing w:after="0"/>
    </w:pPr>
  </w:style>
  <w:style w:customStyle="1" w:styleId="HeaderChar" w:type="character">
    <w:name w:val="Header Char"/>
    <w:basedOn w:val="DefaultParagraphFont"/>
    <w:link w:val="Header"/>
    <w:rsid w:val="002C3E90"/>
  </w:style>
  <w:style w:styleId="Footer" w:type="paragraph">
    <w:name w:val="footer"/>
    <w:basedOn w:val="Normal"/>
    <w:link w:val="FooterChar"/>
    <w:uiPriority w:val="99"/>
    <w:unhideWhenUsed/>
    <w:rsid w:val="002C3E90"/>
    <w:pPr>
      <w:tabs>
        <w:tab w:pos="4680" w:val="center"/>
        <w:tab w:pos="9360" w:val="right"/>
      </w:tabs>
      <w:spacing w:after="0"/>
    </w:pPr>
  </w:style>
  <w:style w:customStyle="1" w:styleId="FooterChar" w:type="character">
    <w:name w:val="Footer Char"/>
    <w:basedOn w:val="DefaultParagraphFont"/>
    <w:link w:val="Footer"/>
    <w:uiPriority w:val="99"/>
    <w:rsid w:val="002C3E90"/>
  </w:style>
  <w:style w:styleId="BodyText2" w:type="paragraph">
    <w:name w:val="Body Text 2"/>
    <w:basedOn w:val="Normal"/>
    <w:link w:val="BodyText2Char"/>
    <w:unhideWhenUsed/>
    <w:rsid w:val="0004147C"/>
  </w:style>
  <w:style w:customStyle="1" w:styleId="BodyText2Char" w:type="character">
    <w:name w:val="Body Text 2 Char"/>
    <w:basedOn w:val="DefaultParagraphFont"/>
    <w:link w:val="BodyText2"/>
    <w:rsid w:val="0004147C"/>
  </w:style>
  <w:style w:styleId="PageNumber" w:type="character">
    <w:name w:val="page number"/>
    <w:basedOn w:val="DefaultParagraphFont"/>
    <w:unhideWhenUsed/>
    <w:rsid w:val="00041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Reference Word Doc</vt:lpstr>
    </vt:vector>
  </TitlesOfParts>
  <Company>NOAA AFSC</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ADP Tables</dc:title>
  <dc:creator/>
  <cp:keywords/>
  <dcterms:created xsi:type="dcterms:W3CDTF">2024-11-22T17:09:45Z</dcterms:created>
  <dcterms:modified xsi:type="dcterms:W3CDTF">2024-11-22T09:09:46Z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2024-Nov-21</vt:lpwstr>
  </property>
  <property fmtid="{D5CDD505-2E9C-101B-9397-08002B2CF9AE}" pid="3" name="output">
    <vt:lpwstr/>
  </property>
</Properties>
</file>