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DE20" w14:textId="5CD645F1" w:rsidR="0005723E" w:rsidRDefault="0005723E">
      <w:pPr>
        <w:spacing w:after="0" w:line="360" w:lineRule="auto"/>
      </w:pPr>
    </w:p>
    <w:p w14:paraId="67E8068B" w14:textId="4B962320" w:rsidR="0005723E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Wet-day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quantile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mapping</w:t>
      </w:r>
      <w:proofErr w:type="spellEnd"/>
      <w:r>
        <w:rPr>
          <w:rFonts w:ascii="inter" w:eastAsia="inter" w:hAnsi="inter" w:cs="inter"/>
          <w:color w:val="000000"/>
        </w:rPr>
        <w:t xml:space="preserve"> -- это специализированное расширение стандартного квантильного отображения (QM) для осадков, которое отдельно корректирует </w:t>
      </w:r>
      <w:r>
        <w:rPr>
          <w:rFonts w:ascii="inter" w:eastAsia="inter" w:hAnsi="inter" w:cs="inter"/>
          <w:i/>
          <w:color w:val="000000"/>
        </w:rPr>
        <w:t>частоту</w:t>
      </w:r>
      <w:r>
        <w:rPr>
          <w:rFonts w:ascii="inter" w:eastAsia="inter" w:hAnsi="inter" w:cs="inter"/>
          <w:color w:val="000000"/>
        </w:rPr>
        <w:t xml:space="preserve"> дождливых дней (</w:t>
      </w:r>
      <w:proofErr w:type="spellStart"/>
      <w:r>
        <w:rPr>
          <w:rFonts w:ascii="inter" w:eastAsia="inter" w:hAnsi="inter" w:cs="inter"/>
          <w:color w:val="000000"/>
        </w:rPr>
        <w:t>wet-day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frequency</w:t>
      </w:r>
      <w:proofErr w:type="spellEnd"/>
      <w:r>
        <w:rPr>
          <w:rFonts w:ascii="inter" w:eastAsia="inter" w:hAnsi="inter" w:cs="inter"/>
          <w:color w:val="000000"/>
        </w:rPr>
        <w:t xml:space="preserve">) перед коррекцией </w:t>
      </w:r>
      <w:r>
        <w:rPr>
          <w:rFonts w:ascii="inter" w:eastAsia="inter" w:hAnsi="inter" w:cs="inter"/>
          <w:i/>
          <w:color w:val="000000"/>
        </w:rPr>
        <w:t>интенсивности</w:t>
      </w:r>
      <w:r>
        <w:rPr>
          <w:rFonts w:ascii="inter" w:eastAsia="inter" w:hAnsi="inter" w:cs="inter"/>
          <w:color w:val="000000"/>
        </w:rPr>
        <w:t>, устраняя проблему дроссельного дождя (</w:t>
      </w:r>
      <w:proofErr w:type="spellStart"/>
      <w:r>
        <w:rPr>
          <w:rFonts w:ascii="inter" w:eastAsia="inter" w:hAnsi="inter" w:cs="inter"/>
          <w:color w:val="000000"/>
        </w:rPr>
        <w:t>drizzle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effect</w:t>
      </w:r>
      <w:proofErr w:type="spellEnd"/>
      <w:r>
        <w:rPr>
          <w:rFonts w:ascii="inter" w:eastAsia="inter" w:hAnsi="inter" w:cs="inter"/>
          <w:color w:val="000000"/>
        </w:rPr>
        <w:t>) в климатических моделях.</w:t>
      </w:r>
    </w:p>
    <w:p w14:paraId="4B4FEB52" w14:textId="77777777" w:rsidR="0005723E" w:rsidRDefault="00000000">
      <w:pPr>
        <w:spacing w:before="315" w:after="105" w:line="360" w:lineRule="auto"/>
        <w:ind w:left="-30"/>
      </w:pPr>
      <w:bookmarkStart w:id="0" w:name="проблема_которую_решает_метод"/>
      <w:r>
        <w:rPr>
          <w:rFonts w:ascii="inter" w:eastAsia="inter" w:hAnsi="inter" w:cs="inter"/>
          <w:b/>
          <w:color w:val="000000"/>
          <w:sz w:val="24"/>
        </w:rPr>
        <w:t>Проблема, которую решает метод</w:t>
      </w:r>
      <w:bookmarkEnd w:id="0"/>
    </w:p>
    <w:p w14:paraId="5403870C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Климатические модели систематически генерируют слишком много слабых событий осадков -- так называемый "</w:t>
      </w:r>
      <w:proofErr w:type="spellStart"/>
      <w:r>
        <w:rPr>
          <w:rFonts w:ascii="inter" w:eastAsia="inter" w:hAnsi="inter" w:cs="inter"/>
          <w:color w:val="000000"/>
        </w:rPr>
        <w:t>drizzle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effect</w:t>
      </w:r>
      <w:proofErr w:type="spellEnd"/>
      <w:r>
        <w:rPr>
          <w:rFonts w:ascii="inter" w:eastAsia="inter" w:hAnsi="inter" w:cs="inter"/>
          <w:color w:val="000000"/>
        </w:rPr>
        <w:t>". При наивном применении QM сухие дни модели (</w:t>
      </w:r>
      <w:proofErr w:type="spellStart"/>
      <w:r>
        <w:rPr>
          <w:rFonts w:ascii="inter" w:eastAsia="inter" w:hAnsi="inter" w:cs="inter"/>
          <w:color w:val="000000"/>
        </w:rPr>
        <w:t>precipitation</w:t>
      </w:r>
      <w:proofErr w:type="spellEnd"/>
      <w:r>
        <w:rPr>
          <w:rFonts w:ascii="inter" w:eastAsia="inter" w:hAnsi="inter" w:cs="inter"/>
          <w:color w:val="000000"/>
        </w:rPr>
        <w:t xml:space="preserve"> = 0) могут быть отображены в мокрые дни наблюдений, что искусственно завышает частоту дождливых дней. Стандартный QM умеет только </w:t>
      </w:r>
      <w:r>
        <w:rPr>
          <w:rFonts w:ascii="inter" w:eastAsia="inter" w:hAnsi="inter" w:cs="inter"/>
          <w:i/>
          <w:color w:val="000000"/>
        </w:rPr>
        <w:t>уменьшать</w:t>
      </w:r>
      <w:r>
        <w:rPr>
          <w:rFonts w:ascii="inter" w:eastAsia="inter" w:hAnsi="inter" w:cs="inter"/>
          <w:color w:val="000000"/>
        </w:rPr>
        <w:t xml:space="preserve"> избыточные </w:t>
      </w:r>
      <w:proofErr w:type="spellStart"/>
      <w:r>
        <w:rPr>
          <w:rFonts w:ascii="inter" w:eastAsia="inter" w:hAnsi="inter" w:cs="inter"/>
          <w:color w:val="000000"/>
        </w:rPr>
        <w:t>wet-days</w:t>
      </w:r>
      <w:proofErr w:type="spellEnd"/>
      <w:r>
        <w:rPr>
          <w:rFonts w:ascii="inter" w:eastAsia="inter" w:hAnsi="inter" w:cs="inter"/>
          <w:color w:val="000000"/>
        </w:rPr>
        <w:t xml:space="preserve">, но не </w:t>
      </w:r>
      <w:r>
        <w:rPr>
          <w:rFonts w:ascii="inter" w:eastAsia="inter" w:hAnsi="inter" w:cs="inter"/>
          <w:i/>
          <w:color w:val="000000"/>
        </w:rPr>
        <w:t>добавлять</w:t>
      </w:r>
      <w:r>
        <w:rPr>
          <w:rFonts w:ascii="inter" w:eastAsia="inter" w:hAnsi="inter" w:cs="inter"/>
          <w:color w:val="000000"/>
        </w:rPr>
        <w:t xml:space="preserve"> их в случае, когда модель недооценивает их количество.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2660C488" w14:textId="77777777" w:rsidR="0005723E" w:rsidRDefault="00000000">
      <w:pPr>
        <w:spacing w:before="315" w:after="105" w:line="360" w:lineRule="auto"/>
        <w:ind w:left="-30"/>
      </w:pPr>
      <w:bookmarkStart w:id="3" w:name="основной_алгоритм"/>
      <w:r>
        <w:rPr>
          <w:rFonts w:ascii="inter" w:eastAsia="inter" w:hAnsi="inter" w:cs="inter"/>
          <w:b/>
          <w:color w:val="000000"/>
          <w:sz w:val="24"/>
        </w:rPr>
        <w:t>Основной алгоритм</w:t>
      </w:r>
      <w:bookmarkEnd w:id="3"/>
    </w:p>
    <w:p w14:paraId="696061D5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Ключевой шаг -- выравнивание функций распределения (CDF) по мокрым дням </w:t>
      </w:r>
      <w:r>
        <w:rPr>
          <w:rFonts w:ascii="inter" w:eastAsia="inter" w:hAnsi="inter" w:cs="inter"/>
          <w:i/>
          <w:color w:val="000000"/>
        </w:rPr>
        <w:t>до</w:t>
      </w:r>
      <w:r>
        <w:rPr>
          <w:rFonts w:ascii="inter" w:eastAsia="inter" w:hAnsi="inter" w:cs="inter"/>
          <w:color w:val="000000"/>
        </w:rPr>
        <w:t xml:space="preserve"> квантильного отображения. Базовая трансформация QM:</w:t>
      </w:r>
    </w:p>
    <w:p w14:paraId="31960CB6" w14:textId="77777777" w:rsidR="0005723E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z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nor/>
                </m:rPr>
                <w:rPr>
                  <w:color w:val="000000"/>
                </w:rPr>
                <m:t>doy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m:rPr>
                  <m:nor/>
                </m:rPr>
                <w:rPr>
                  <w:color w:val="000000"/>
                </w:rPr>
                <m:t>doy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))</m:t>
          </m:r>
        </m:oMath>
      </m:oMathPara>
    </w:p>
    <w:p w14:paraId="64725DE8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x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y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-- эмпирические CDF наблюдений и модели соответственно . Для осадков перед этим шагом применяется одна из двух стратегий:</w:t>
      </w:r>
    </w:p>
    <w:p w14:paraId="12898B8A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</w:rPr>
        <w:t>Thresholding</w:t>
      </w:r>
      <w:proofErr w:type="spellEnd"/>
      <w:r>
        <w:rPr>
          <w:rFonts w:ascii="inter" w:eastAsia="inter" w:hAnsi="inter" w:cs="inter"/>
          <w:b/>
          <w:color w:val="000000"/>
        </w:rPr>
        <w:t xml:space="preserve"> (пороговая коррекция)</w:t>
      </w:r>
      <w:r>
        <w:rPr>
          <w:rFonts w:ascii="inter" w:eastAsia="inter" w:hAnsi="inter" w:cs="inter"/>
          <w:color w:val="000000"/>
        </w:rPr>
        <w:br/>
        <w:t xml:space="preserve">Все значения модели ниже порога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th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, который выравнивает количество мокрых дней модели и наблюдений, обнуляются. Это простой и широко применяемый метод, но он работает только при </w:t>
      </w:r>
      <w:r>
        <w:rPr>
          <w:rFonts w:ascii="inter" w:eastAsia="inter" w:hAnsi="inter" w:cs="inter"/>
          <w:i/>
          <w:color w:val="000000"/>
        </w:rPr>
        <w:t>положительном</w:t>
      </w:r>
      <w:r>
        <w:rPr>
          <w:rFonts w:ascii="inter" w:eastAsia="inter" w:hAnsi="inter" w:cs="inter"/>
          <w:color w:val="000000"/>
        </w:rPr>
        <w:t xml:space="preserve"> смещении (модель генерирует больше мокрых дней, чем наблюдается).</w:t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1BAE315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</w:rPr>
        <w:t>Singularity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Stochastic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Removal</w:t>
      </w:r>
      <w:proofErr w:type="spellEnd"/>
      <w:r>
        <w:rPr>
          <w:rFonts w:ascii="inter" w:eastAsia="inter" w:hAnsi="inter" w:cs="inter"/>
          <w:b/>
          <w:color w:val="000000"/>
        </w:rPr>
        <w:t xml:space="preserve"> (SSR)</w:t>
      </w:r>
      <w:r>
        <w:rPr>
          <w:rFonts w:ascii="inter" w:eastAsia="inter" w:hAnsi="inter" w:cs="inter"/>
          <w:color w:val="000000"/>
        </w:rPr>
        <w:br/>
        <w:t xml:space="preserve">Более универсальный метод, предложенный </w:t>
      </w:r>
      <w:proofErr w:type="spellStart"/>
      <w:r>
        <w:rPr>
          <w:rFonts w:ascii="inter" w:eastAsia="inter" w:hAnsi="inter" w:cs="inter"/>
          <w:color w:val="000000"/>
        </w:rPr>
        <w:t>Vrac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al</w:t>
      </w:r>
      <w:proofErr w:type="spellEnd"/>
      <w:r>
        <w:rPr>
          <w:rFonts w:ascii="inter" w:eastAsia="inter" w:hAnsi="inter" w:cs="inter"/>
          <w:color w:val="000000"/>
        </w:rPr>
        <w:t>. (2016), работающий в четыре шага :</w:t>
      </w:r>
    </w:p>
    <w:p w14:paraId="39A66E14" w14:textId="77777777" w:rsidR="0005723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Найти минимальное ненулевое значение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th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в обоих временных рядах</w:t>
      </w:r>
    </w:p>
    <w:p w14:paraId="40D9B9C0" w14:textId="77777777" w:rsidR="0005723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Заменить все нулевые значения случайным числом из диапазона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(0,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th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</w:p>
    <w:p w14:paraId="7BB7D556" w14:textId="77777777" w:rsidR="0005723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Применить стандартный QM ко всем значениям (включая ранее нулевые)</w:t>
      </w:r>
    </w:p>
    <w:p w14:paraId="5680353C" w14:textId="77777777" w:rsidR="0005723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Обнулить все значения ниже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th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в откорректированном ряду</w:t>
      </w:r>
    </w:p>
    <w:p w14:paraId="0F871558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SSR превосходит простое пороговое обнуление, особенно в случаях, когда модель </w:t>
      </w:r>
      <w:r>
        <w:rPr>
          <w:rFonts w:ascii="inter" w:eastAsia="inter" w:hAnsi="inter" w:cs="inter"/>
          <w:i/>
          <w:color w:val="000000"/>
        </w:rPr>
        <w:t>недооценивает</w:t>
      </w:r>
      <w:r>
        <w:rPr>
          <w:rFonts w:ascii="inter" w:eastAsia="inter" w:hAnsi="inter" w:cs="inter"/>
          <w:color w:val="000000"/>
        </w:rPr>
        <w:t xml:space="preserve"> количество мокрых дней.</w:t>
      </w:r>
      <w:bookmarkStart w:id="6" w:name="fnref3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4C4A7C94" w14:textId="77777777" w:rsidR="0005723E" w:rsidRDefault="00000000">
      <w:pPr>
        <w:spacing w:before="315" w:after="105" w:line="360" w:lineRule="auto"/>
        <w:ind w:left="-30"/>
      </w:pPr>
      <w:bookmarkStart w:id="7" w:name="разновидности_методов"/>
      <w:r>
        <w:rPr>
          <w:rFonts w:ascii="inter" w:eastAsia="inter" w:hAnsi="inter" w:cs="inter"/>
          <w:b/>
          <w:color w:val="000000"/>
          <w:sz w:val="24"/>
        </w:rPr>
        <w:t>Разновидности методов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5"/>
        <w:gridCol w:w="2577"/>
        <w:gridCol w:w="2662"/>
        <w:gridCol w:w="2460"/>
      </w:tblGrid>
      <w:tr w:rsidR="0005723E" w14:paraId="7D26D9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A08AA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Метод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B45DE" w14:textId="77777777" w:rsidR="0005723E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Wet-day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коррекция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3FC8A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Тренд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BBF807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Применение</w:t>
            </w:r>
          </w:p>
        </w:tc>
      </w:tr>
      <w:tr w:rsidR="0005723E" w14:paraId="708C51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DC729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EQM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Thresholding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E4BD5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Только позитивное смещение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FFF5A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63D26C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Исторические периоды 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05723E" w14:paraId="2B7F36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0B383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EQM + SSR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39982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Позитивное и негативное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4DFCD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0A9191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Глобальные приложения 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05723E" w14:paraId="6DAF15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F2A27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QDM + SSR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0FC06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Позитивное и негативное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1548F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Сохраняет квантильный тренд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35DEBF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Климатические проекции 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05723E" w14:paraId="16FB00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256CF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DQM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Thresholding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949FF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Позитивное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88CCA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Сохраняет средний тренд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DC9FF" w14:textId="77777777" w:rsidR="0005723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Умеренный климат </w:t>
            </w:r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</w:tbl>
    <w:p w14:paraId="36491F77" w14:textId="77777777" w:rsidR="0005723E" w:rsidRDefault="0005723E"/>
    <w:p w14:paraId="2E48D67F" w14:textId="77777777" w:rsidR="0005723E" w:rsidRDefault="00000000">
      <w:pPr>
        <w:spacing w:before="315" w:after="105" w:line="360" w:lineRule="auto"/>
        <w:ind w:left="-30"/>
      </w:pPr>
      <w:bookmarkStart w:id="8" w:name="ключевые_нюансы_применения"/>
      <w:r>
        <w:rPr>
          <w:rFonts w:ascii="inter" w:eastAsia="inter" w:hAnsi="inter" w:cs="inter"/>
          <w:b/>
          <w:color w:val="000000"/>
          <w:sz w:val="24"/>
        </w:rPr>
        <w:t>Ключевые нюансы применения</w:t>
      </w:r>
      <w:bookmarkEnd w:id="8"/>
    </w:p>
    <w:p w14:paraId="3B599DCE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Для каждого дня года (</w:t>
      </w:r>
      <w:proofErr w:type="spellStart"/>
      <w:r>
        <w:rPr>
          <w:rFonts w:ascii="inter" w:eastAsia="inter" w:hAnsi="inter" w:cs="inter"/>
          <w:color w:val="000000"/>
        </w:rPr>
        <w:t>day-of-year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doy</w:t>
      </w:r>
      <w:proofErr w:type="spellEnd"/>
      <w:r>
        <w:rPr>
          <w:rFonts w:ascii="inter" w:eastAsia="inter" w:hAnsi="inter" w:cs="inter"/>
          <w:color w:val="000000"/>
        </w:rPr>
        <w:t>) строятся отдельные CDF с использованием скользящего окна в 31 день -- это позволяет избежать искусственных разрывов между месяцами . Порог мокрого дня обычно задаётся как 0.1 или 1 мм/</w:t>
      </w:r>
      <w:proofErr w:type="spellStart"/>
      <w:r>
        <w:rPr>
          <w:rFonts w:ascii="inter" w:eastAsia="inter" w:hAnsi="inter" w:cs="inter"/>
          <w:color w:val="000000"/>
        </w:rPr>
        <w:t>сут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9" w:name="fnref4_2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0" w:name="fnref5"/>
      <w:bookmarkEnd w:id="1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7807AF3D" w14:textId="77777777" w:rsidR="0005723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При работе с климатическими проекциями (будущими сценариями) рекомендуется QDM + SSR, так как QDM явно сохраняет сигнал изменения климата на уровне каждого квантиля, а не только среднего. Простое EQM может неявно искажать климатический сигнал в нестационарных условиях.</w:t>
      </w:r>
      <w:bookmarkStart w:id="11" w:name="fnref4_3"/>
      <w:bookmarkEnd w:id="1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9DABB55" w14:textId="77777777" w:rsidR="0005723E" w:rsidRDefault="00000000">
      <w:pPr>
        <w:spacing w:before="315" w:after="105" w:line="360" w:lineRule="auto"/>
        <w:ind w:left="-30"/>
      </w:pPr>
      <w:bookmarkStart w:id="12" w:name="практические_инструменты"/>
      <w:r>
        <w:rPr>
          <w:rFonts w:ascii="inter" w:eastAsia="inter" w:hAnsi="inter" w:cs="inter"/>
          <w:b/>
          <w:color w:val="000000"/>
          <w:sz w:val="24"/>
        </w:rPr>
        <w:t>Практические инструменты</w:t>
      </w:r>
      <w:bookmarkEnd w:id="12"/>
    </w:p>
    <w:p w14:paraId="3751959B" w14:textId="77777777" w:rsidR="0005723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Python</w:t>
      </w:r>
      <w:r>
        <w:rPr>
          <w:rFonts w:ascii="inter" w:eastAsia="inter" w:hAnsi="inter" w:cs="inter"/>
          <w:color w:val="000000"/>
        </w:rPr>
        <w:t xml:space="preserve">: библиотека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xclim</w:t>
      </w:r>
      <w:proofErr w:type="spellEnd"/>
      <w:r>
        <w:rPr>
          <w:rFonts w:ascii="inter" w:eastAsia="inter" w:hAnsi="inter" w:cs="inter"/>
          <w:color w:val="000000"/>
        </w:rPr>
        <w:t xml:space="preserve"> реализует QDM, DQM, SSR из коробки; </w:t>
      </w:r>
      <w:proofErr w:type="spellStart"/>
      <w:r>
        <w:rPr>
          <w:rFonts w:ascii="inter" w:eastAsia="inter" w:hAnsi="inter" w:cs="inter"/>
          <w:color w:val="000000"/>
        </w:rPr>
        <w:t>MIdAS</w:t>
      </w:r>
      <w:proofErr w:type="spellEnd"/>
      <w:r>
        <w:rPr>
          <w:rFonts w:ascii="inter" w:eastAsia="inter" w:hAnsi="inter" w:cs="inter"/>
          <w:color w:val="000000"/>
        </w:rPr>
        <w:t xml:space="preserve"> (SMHI) использует </w:t>
      </w:r>
      <w:proofErr w:type="spellStart"/>
      <w:r>
        <w:rPr>
          <w:rFonts w:ascii="inter" w:eastAsia="inter" w:hAnsi="inter" w:cs="inter"/>
          <w:color w:val="000000"/>
        </w:rPr>
        <w:t>scipy</w:t>
      </w:r>
      <w:proofErr w:type="spellEnd"/>
      <w:r>
        <w:rPr>
          <w:rFonts w:ascii="inter" w:eastAsia="inter" w:hAnsi="inter" w:cs="inter"/>
          <w:color w:val="000000"/>
        </w:rPr>
        <w:t>-сплайны поверх SSR</w:t>
      </w:r>
    </w:p>
    <w:p w14:paraId="4FE51A19" w14:textId="77777777" w:rsidR="0005723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</w:t>
      </w:r>
      <w:r>
        <w:rPr>
          <w:rFonts w:ascii="inter" w:eastAsia="inter" w:hAnsi="inter" w:cs="inter"/>
          <w:color w:val="000000"/>
        </w:rPr>
        <w:t xml:space="preserve">: пакет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qmap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Gudmundsson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al</w:t>
      </w:r>
      <w:proofErr w:type="spellEnd"/>
      <w:r>
        <w:rPr>
          <w:rFonts w:ascii="inter" w:eastAsia="inter" w:hAnsi="inter" w:cs="inter"/>
          <w:color w:val="000000"/>
        </w:rPr>
        <w:t xml:space="preserve">.) с функциями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fitQmap</w:t>
      </w:r>
      <w:proofErr w:type="spellEnd"/>
      <w:r>
        <w:rPr>
          <w:rFonts w:ascii="inter" w:eastAsia="inter" w:hAnsi="inter" w:cs="inter"/>
          <w:color w:val="000000"/>
        </w:rPr>
        <w:t xml:space="preserve">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doQmap</w:t>
      </w:r>
      <w:proofErr w:type="spellEnd"/>
      <w:r>
        <w:rPr>
          <w:rFonts w:ascii="inter" w:eastAsia="inter" w:hAnsi="inter" w:cs="inter"/>
          <w:color w:val="000000"/>
        </w:rPr>
        <w:t>, поддерживает пороговый подход</w:t>
      </w:r>
    </w:p>
    <w:p w14:paraId="2327132A" w14:textId="77777777" w:rsidR="0005723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Порог при SSR</w:t>
      </w:r>
      <w:r>
        <w:rPr>
          <w:rFonts w:ascii="inter" w:eastAsia="inter" w:hAnsi="inter" w:cs="inter"/>
          <w:color w:val="000000"/>
        </w:rPr>
        <w:t>: значение 0.05 мм/</w:t>
      </w:r>
      <w:proofErr w:type="spellStart"/>
      <w:r>
        <w:rPr>
          <w:rFonts w:ascii="inter" w:eastAsia="inter" w:hAnsi="inter" w:cs="inter"/>
          <w:color w:val="000000"/>
        </w:rPr>
        <w:t>сут</w:t>
      </w:r>
      <w:proofErr w:type="spellEnd"/>
      <w:r>
        <w:rPr>
          <w:rFonts w:ascii="inter" w:eastAsia="inter" w:hAnsi="inter" w:cs="inter"/>
          <w:color w:val="000000"/>
        </w:rPr>
        <w:t xml:space="preserve"> обычно используется как верхняя граница шума при добавлении </w:t>
      </w:r>
      <w:proofErr w:type="spellStart"/>
      <w:r>
        <w:rPr>
          <w:rFonts w:ascii="inter" w:eastAsia="inter" w:hAnsi="inter" w:cs="inter"/>
          <w:color w:val="000000"/>
        </w:rPr>
        <w:t>микроосадков</w:t>
      </w:r>
      <w:bookmarkStart w:id="13" w:name="fnref4_4"/>
      <w:bookmarkEnd w:id="13"/>
      <w:proofErr w:type="spellEnd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2D17032F" w14:textId="77777777" w:rsidR="0005723E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6E1DC24" w14:textId="77777777" w:rsidR="0005723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904E0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4" w:name="fn1"/>
    <w:bookmarkEnd w:id="14"/>
    <w:p w14:paraId="01C74885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"https://ascmo.copernicus.org/articles/9/29/2023/"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https://ascmo.copernicus.org/articles/9/29/2023/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5" w:name="fn2"/>
    <w:bookmarkEnd w:id="15"/>
    <w:p w14:paraId="5535B7F5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"https://gmd.copernicus.org/articles/17/4689/2024/"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https://gmd.copernicus.org/articles/17/4689/2024/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6" w:name="fn3"/>
    <w:bookmarkEnd w:id="16"/>
    <w:p w14:paraId="08DF2134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"https://d-nb.info/1265102236/34"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https://d-nb.info/1265102236/34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7" w:name="fn4"/>
    <w:bookmarkEnd w:id="17"/>
    <w:p w14:paraId="73098148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"https://git.smhi.se/midas/midas/-/issues/14"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https://git.smhi.se/midas/midas/-/issues/14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18" w:name="fn5"/>
    <w:bookmarkEnd w:id="18"/>
    <w:p w14:paraId="4EB1AC9A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"https://www.meteoswiss.admin.ch/dam/jcr:1b810050-11a2-415d-b439-3b2eb75f9693/MeteoSchweiz_Fachbericht_270_final.pdf"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https://www.meteoswiss.admin.ch/dam/jcr:1b810050-11a2-415d-b439-3b2eb75f9693/MeteoSchweiz_Fachbericht_270_final.pdf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" w:name="fn6"/>
    <w:bookmarkEnd w:id="19"/>
    <w:p w14:paraId="11377D1E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"https://onlinelibrary.wiley.com/doi/full/10.1002/env.2881"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https://onlinelibrary.wiley.com/doi/full/10.1002/env.2881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" w:name="fn7"/>
    <w:bookmarkEnd w:id="20"/>
    <w:p w14:paraId="18C7B454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"https://www.sciencedirect.com/science/article/abs/pii/S002216942031146X"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https://www.sciencedirect.com/science/article/abs/pii/S002216942031146X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" w:name="fn8"/>
    <w:bookmarkEnd w:id="21"/>
    <w:p w14:paraId="405DB87B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"http://ui.adsabs.harvard.edu/abs/2023E&amp;SS...1002823R/abstract"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http://ui.adsabs.harvard.edu/abs/2023E&amp;SS...1002823R/abstract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9"/>
    <w:bookmarkEnd w:id="22"/>
    <w:p w14:paraId="667B28D6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"https://agupubs.onlinelibrary.wiley.com/doi/full/10.1002/jgrd.50323"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https://agupubs.onlinelibrary.wiley.com/doi/full/10.1002/jgrd.50323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10"/>
    <w:bookmarkEnd w:id="23"/>
    <w:p w14:paraId="1DDA9800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"https://journals.plos.org/water/article?id=10.1371%2Fjournal.pwat.0000016"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https://journals.plos.org/water/article?id=10.1371%2Fjournal.pwat.0000016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" w:name="fn11"/>
    <w:bookmarkEnd w:id="24"/>
    <w:p w14:paraId="6605EDF2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"https://pmc.ncbi.nlm.nih.gov/articles/PMC11522466/"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https://pmc.ncbi.nlm.nih.gov/articles/PMC11522466/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" w:name="fn12"/>
    <w:bookmarkEnd w:id="25"/>
    <w:p w14:paraId="0C8654BA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"https://agupubs.onlinelibrary.wiley.com/doi/full/10.1029/2023EA002823"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https://agupubs.onlinelibrary.wiley.com/doi/full/10.1029/2023EA002823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" w:name="fn13"/>
    <w:bookmarkEnd w:id="26"/>
    <w:p w14:paraId="186D280F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"https://pdfs.semanticscholar.org/27aa/9c000b1fb56b3fd978eb517d8bc8f8aef8c7.pdf"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https://pdfs.semanticscholar.org/27aa/9c000b1fb56b3fd978eb517d8bc8f8aef8c7.pdf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" w:name="fn14"/>
    <w:bookmarkEnd w:id="27"/>
    <w:p w14:paraId="2EA67BAD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"https://rmets.onlinelibrary.wiley.com/doi/10.1002/joc.7272"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https://rmets.onlinelibrary.wiley.com/doi/10.1002/joc.7272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" w:name="fn15"/>
    <w:bookmarkEnd w:id="28"/>
    <w:p w14:paraId="43E3667A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"https://ui.adsabs.harvard.edu/abs/2016JGRD..121.5237V/abstract"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https://ui.adsabs.harvard.edu/abs/2016JGRD..121.5237V/abstract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" w:name="fn16"/>
    <w:bookmarkEnd w:id="29"/>
    <w:p w14:paraId="05DF2CDE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"https://climatedata.environment.govt.nz/documents/Bias_Correction_of_Downscaled_CMIP6_Output.pdf"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https://climatedata.environment.govt.nz/documents/Bias_Correction_of_Downscaled_CMIP6_Output.pdf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" w:name="fn17"/>
    <w:bookmarkEnd w:id="30"/>
    <w:p w14:paraId="5DC8EC41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"https://agupubs.onlinelibrary.wiley.com/doi/full/10.1029/2018GL078875"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https://agupubs.onlinelibrary.wiley.com/doi/full/10.1029/2018GL078875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" w:name="fn18"/>
    <w:bookmarkEnd w:id="31"/>
    <w:p w14:paraId="001C6EE1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"https://ascmo.copernicus.org/articles/9/29/2023/ascmo-9-29-2023.pdf"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https://ascmo.copernicus.org/articles/9/29/2023/ascmo-9-29-2023.pdf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" w:name="fn19"/>
    <w:bookmarkEnd w:id="32"/>
    <w:p w14:paraId="5DD66B7A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"https://www.sciencedirect.com/science/article/pii/S0022169423002640"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https://www.sciencedirect.com/science/article/pii/S0022169423002640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3" w:name="fn20"/>
    <w:bookmarkEnd w:id="33"/>
    <w:p w14:paraId="05E61AF1" w14:textId="77777777" w:rsidR="0005723E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"https://pmc.ncbi.nlm.nih.gov/articles/PMC5492496/"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https://pmc.ncbi.nlm.nih.gov/articles/PMC5492496/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0572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9BA"/>
    <w:multiLevelType w:val="hybridMultilevel"/>
    <w:tmpl w:val="21D43E50"/>
    <w:lvl w:ilvl="0" w:tplc="D200054C">
      <w:numFmt w:val="decimal"/>
      <w:lvlText w:val=""/>
      <w:lvlJc w:val="left"/>
    </w:lvl>
    <w:lvl w:ilvl="1" w:tplc="6EBC80EA">
      <w:numFmt w:val="decimal"/>
      <w:lvlText w:val=""/>
      <w:lvlJc w:val="left"/>
    </w:lvl>
    <w:lvl w:ilvl="2" w:tplc="0F22DA0E">
      <w:numFmt w:val="decimal"/>
      <w:lvlText w:val=""/>
      <w:lvlJc w:val="left"/>
    </w:lvl>
    <w:lvl w:ilvl="3" w:tplc="FC947A2A">
      <w:numFmt w:val="decimal"/>
      <w:lvlText w:val=""/>
      <w:lvlJc w:val="left"/>
    </w:lvl>
    <w:lvl w:ilvl="4" w:tplc="3D622E14">
      <w:numFmt w:val="decimal"/>
      <w:lvlText w:val=""/>
      <w:lvlJc w:val="left"/>
    </w:lvl>
    <w:lvl w:ilvl="5" w:tplc="1F1E2FBC">
      <w:numFmt w:val="decimal"/>
      <w:lvlText w:val=""/>
      <w:lvlJc w:val="left"/>
    </w:lvl>
    <w:lvl w:ilvl="6" w:tplc="917A936A">
      <w:numFmt w:val="decimal"/>
      <w:lvlText w:val=""/>
      <w:lvlJc w:val="left"/>
    </w:lvl>
    <w:lvl w:ilvl="7" w:tplc="BCB2730A">
      <w:numFmt w:val="decimal"/>
      <w:lvlText w:val=""/>
      <w:lvlJc w:val="left"/>
    </w:lvl>
    <w:lvl w:ilvl="8" w:tplc="CAF24F80">
      <w:numFmt w:val="decimal"/>
      <w:lvlText w:val=""/>
      <w:lvlJc w:val="left"/>
    </w:lvl>
  </w:abstractNum>
  <w:abstractNum w:abstractNumId="1" w15:restartNumberingAfterBreak="0">
    <w:nsid w:val="07CA7738"/>
    <w:multiLevelType w:val="hybridMultilevel"/>
    <w:tmpl w:val="E90C0AA0"/>
    <w:lvl w:ilvl="0" w:tplc="1E5649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54961A">
      <w:numFmt w:val="decimal"/>
      <w:lvlText w:val=""/>
      <w:lvlJc w:val="left"/>
    </w:lvl>
    <w:lvl w:ilvl="2" w:tplc="CEBA3BFA">
      <w:numFmt w:val="decimal"/>
      <w:lvlText w:val=""/>
      <w:lvlJc w:val="left"/>
    </w:lvl>
    <w:lvl w:ilvl="3" w:tplc="3EEC3BF2">
      <w:numFmt w:val="decimal"/>
      <w:lvlText w:val=""/>
      <w:lvlJc w:val="left"/>
    </w:lvl>
    <w:lvl w:ilvl="4" w:tplc="19D8DECC">
      <w:numFmt w:val="decimal"/>
      <w:lvlText w:val=""/>
      <w:lvlJc w:val="left"/>
    </w:lvl>
    <w:lvl w:ilvl="5" w:tplc="B6AED2D2">
      <w:numFmt w:val="decimal"/>
      <w:lvlText w:val=""/>
      <w:lvlJc w:val="left"/>
    </w:lvl>
    <w:lvl w:ilvl="6" w:tplc="7410F27A">
      <w:numFmt w:val="decimal"/>
      <w:lvlText w:val=""/>
      <w:lvlJc w:val="left"/>
    </w:lvl>
    <w:lvl w:ilvl="7" w:tplc="F5EAD148">
      <w:numFmt w:val="decimal"/>
      <w:lvlText w:val=""/>
      <w:lvlJc w:val="left"/>
    </w:lvl>
    <w:lvl w:ilvl="8" w:tplc="6BF2B7F2">
      <w:numFmt w:val="decimal"/>
      <w:lvlText w:val=""/>
      <w:lvlJc w:val="left"/>
    </w:lvl>
  </w:abstractNum>
  <w:abstractNum w:abstractNumId="2" w15:restartNumberingAfterBreak="0">
    <w:nsid w:val="3366020D"/>
    <w:multiLevelType w:val="hybridMultilevel"/>
    <w:tmpl w:val="DD104E36"/>
    <w:lvl w:ilvl="0" w:tplc="CD6A08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6EDF14">
      <w:numFmt w:val="decimal"/>
      <w:lvlText w:val=""/>
      <w:lvlJc w:val="left"/>
    </w:lvl>
    <w:lvl w:ilvl="2" w:tplc="961E74A0">
      <w:numFmt w:val="decimal"/>
      <w:lvlText w:val=""/>
      <w:lvlJc w:val="left"/>
    </w:lvl>
    <w:lvl w:ilvl="3" w:tplc="89644874">
      <w:numFmt w:val="decimal"/>
      <w:lvlText w:val=""/>
      <w:lvlJc w:val="left"/>
    </w:lvl>
    <w:lvl w:ilvl="4" w:tplc="0E44949A">
      <w:numFmt w:val="decimal"/>
      <w:lvlText w:val=""/>
      <w:lvlJc w:val="left"/>
    </w:lvl>
    <w:lvl w:ilvl="5" w:tplc="55F2B072">
      <w:numFmt w:val="decimal"/>
      <w:lvlText w:val=""/>
      <w:lvlJc w:val="left"/>
    </w:lvl>
    <w:lvl w:ilvl="6" w:tplc="AD229E38">
      <w:numFmt w:val="decimal"/>
      <w:lvlText w:val=""/>
      <w:lvlJc w:val="left"/>
    </w:lvl>
    <w:lvl w:ilvl="7" w:tplc="338E485E">
      <w:numFmt w:val="decimal"/>
      <w:lvlText w:val=""/>
      <w:lvlJc w:val="left"/>
    </w:lvl>
    <w:lvl w:ilvl="8" w:tplc="D47294AA">
      <w:numFmt w:val="decimal"/>
      <w:lvlText w:val=""/>
      <w:lvlJc w:val="left"/>
    </w:lvl>
  </w:abstractNum>
  <w:abstractNum w:abstractNumId="3" w15:restartNumberingAfterBreak="0">
    <w:nsid w:val="6A836D36"/>
    <w:multiLevelType w:val="hybridMultilevel"/>
    <w:tmpl w:val="F4CCE496"/>
    <w:lvl w:ilvl="0" w:tplc="EA1A79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781CDA">
      <w:numFmt w:val="decimal"/>
      <w:lvlText w:val=""/>
      <w:lvlJc w:val="left"/>
    </w:lvl>
    <w:lvl w:ilvl="2" w:tplc="5A5028C4">
      <w:numFmt w:val="decimal"/>
      <w:lvlText w:val=""/>
      <w:lvlJc w:val="left"/>
    </w:lvl>
    <w:lvl w:ilvl="3" w:tplc="42261196">
      <w:numFmt w:val="decimal"/>
      <w:lvlText w:val=""/>
      <w:lvlJc w:val="left"/>
    </w:lvl>
    <w:lvl w:ilvl="4" w:tplc="16DAEEAA">
      <w:numFmt w:val="decimal"/>
      <w:lvlText w:val=""/>
      <w:lvlJc w:val="left"/>
    </w:lvl>
    <w:lvl w:ilvl="5" w:tplc="81B8EA1C">
      <w:numFmt w:val="decimal"/>
      <w:lvlText w:val=""/>
      <w:lvlJc w:val="left"/>
    </w:lvl>
    <w:lvl w:ilvl="6" w:tplc="D00E2CFC">
      <w:numFmt w:val="decimal"/>
      <w:lvlText w:val=""/>
      <w:lvlJc w:val="left"/>
    </w:lvl>
    <w:lvl w:ilvl="7" w:tplc="06A2BF9E">
      <w:numFmt w:val="decimal"/>
      <w:lvlText w:val=""/>
      <w:lvlJc w:val="left"/>
    </w:lvl>
    <w:lvl w:ilvl="8" w:tplc="9014CE3E">
      <w:numFmt w:val="decimal"/>
      <w:lvlText w:val=""/>
      <w:lvlJc w:val="left"/>
    </w:lvl>
  </w:abstractNum>
  <w:num w:numId="1" w16cid:durableId="1007515451">
    <w:abstractNumId w:val="1"/>
  </w:num>
  <w:num w:numId="2" w16cid:durableId="81225698">
    <w:abstractNumId w:val="2"/>
  </w:num>
  <w:num w:numId="3" w16cid:durableId="507407789">
    <w:abstractNumId w:val="0"/>
  </w:num>
  <w:num w:numId="4" w16cid:durableId="1592544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3E"/>
    <w:rsid w:val="0005723E"/>
    <w:rsid w:val="002653EF"/>
    <w:rsid w:val="003A7FF5"/>
    <w:rsid w:val="0050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1066AD"/>
  <w15:docId w15:val="{5D3D2B33-30C6-42DC-B02E-400F0231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4037</Characters>
  <Application>Microsoft Office Word</Application>
  <DocSecurity>0</DocSecurity>
  <Lines>95</Lines>
  <Paragraphs>63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G8236</cp:lastModifiedBy>
  <cp:revision>4</cp:revision>
  <dcterms:created xsi:type="dcterms:W3CDTF">2026-02-20T11:30:00Z</dcterms:created>
  <dcterms:modified xsi:type="dcterms:W3CDTF">2026-02-20T11:30:00Z</dcterms:modified>
</cp:coreProperties>
</file>