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of</w:t>
      </w:r>
      <w:r>
        <w:t xml:space="preserve"> </w:t>
      </w:r>
      <w:r>
        <w:t xml:space="preserve">individual</w:t>
      </w:r>
      <w:r>
        <w:t xml:space="preserve"> </w:t>
      </w:r>
      <w:r>
        <w:t xml:space="preserve">audit</w:t>
      </w:r>
      <w:r>
        <w:t xml:space="preserve"> </w:t>
      </w:r>
      <w:r>
        <w:t xml:space="preserve">filters</w:t>
      </w:r>
      <w:r>
        <w:t xml:space="preserve"> </w:t>
      </w:r>
      <w:r>
        <w:t xml:space="preserve">in</w:t>
      </w:r>
      <w:r>
        <w:t xml:space="preserve"> </w:t>
      </w:r>
      <w:r>
        <w:t xml:space="preserve">predicting</w:t>
      </w:r>
      <w:r>
        <w:t xml:space="preserve"> </w:t>
      </w:r>
      <w:r>
        <w:t xml:space="preserve">opportunities</w:t>
      </w:r>
      <w:r>
        <w:t xml:space="preserve"> </w:t>
      </w:r>
      <w:r>
        <w:t xml:space="preserve">for</w:t>
      </w:r>
      <w:r>
        <w:t xml:space="preserve"> </w:t>
      </w:r>
      <w:r>
        <w:t xml:space="preserve">improvement</w:t>
      </w:r>
      <w:r>
        <w:t xml:space="preserve"> </w:t>
      </w:r>
      <w:r>
        <w:t xml:space="preserve">in</w:t>
      </w:r>
      <w:r>
        <w:t xml:space="preserve"> </w:t>
      </w:r>
      <w:r>
        <w:t xml:space="preserve">adult</w:t>
      </w:r>
      <w:r>
        <w:t xml:space="preserve"> </w:t>
      </w:r>
      <w:r>
        <w:t xml:space="preserve">trauma</w:t>
      </w:r>
      <w:r>
        <w:t xml:space="preserve"> </w:t>
      </w:r>
      <w:r>
        <w:t xml:space="preserve">patients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registry</w:t>
      </w:r>
      <w:r>
        <w:t xml:space="preserve"> </w:t>
      </w:r>
      <w:r>
        <w:t xml:space="preserve">based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Josef</w:t>
      </w:r>
      <w:r>
        <w:t xml:space="preserve"> </w:t>
      </w:r>
      <w:r>
        <w:t xml:space="preserve">Al-Khalili</w:t>
      </w:r>
    </w:p>
    <w:bookmarkStart w:id="2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Trauma is defined as a physical injury of external origin together with the body’s</w:t>
      </w:r>
      <w:r>
        <w:t xml:space="preserve"> </w:t>
      </w:r>
      <w:r>
        <w:t xml:space="preserve">associated response. This phenomenon constitutes 9% of global deaths each year</w:t>
      </w:r>
      <w:r>
        <w:t xml:space="preserve"> </w:t>
      </w:r>
      <w:r>
        <w:t xml:space="preserve">(Organization et al. 2014)</w:t>
      </w:r>
      <w:r>
        <w:t xml:space="preserve">.</w:t>
      </w:r>
      <w:r>
        <w:t xml:space="preserve"> </w:t>
      </w:r>
      <w:r>
        <w:t xml:space="preserve">It is the leading cause of death for individuals between the ages 10 to 49</w:t>
      </w:r>
      <w:r>
        <w:t xml:space="preserve">(Vos et al. 2020)</w:t>
      </w:r>
      <w:r>
        <w:t xml:space="preserve">;</w:t>
      </w:r>
      <w:r>
        <w:t xml:space="preserve">(Roth et al. 2018)</w:t>
      </w:r>
      <w:r>
        <w:t xml:space="preserve">.</w:t>
      </w:r>
    </w:p>
    <w:p>
      <w:pPr>
        <w:pStyle w:val="BodyText"/>
      </w:pPr>
      <w:r>
        <w:t xml:space="preserve">Trauma is broadly categorized into two groups by the underlying causal mechanism: penetrating and blunt trauma. Common examples of penetrating trauma are bullet wounds and knife cuts. Blunt trauma, however, is</w:t>
      </w:r>
      <w:r>
        <w:t xml:space="preserve"> </w:t>
      </w:r>
      <w:r>
        <w:t xml:space="preserve">attributed to injuries like road traffic injuries and falls. Generally</w:t>
      </w:r>
      <w:r>
        <w:t xml:space="preserve"> </w:t>
      </w:r>
      <w:r>
        <w:t xml:space="preserve">speaking, the two types of trauma can also be characterized by the size of force causing it and the area of impact. Blunt trauma is caused by a high-force impact over a larger surface area. In contrast, penetrating trauma results from a force</w:t>
      </w:r>
      <w:r>
        <w:t xml:space="preserve"> </w:t>
      </w:r>
      <w:r>
        <w:t xml:space="preserve">applied to a smaller surface area causing greater pressure thus acting</w:t>
      </w:r>
      <w:r>
        <w:t xml:space="preserve"> </w:t>
      </w:r>
      <w:r>
        <w:t xml:space="preserve">in a piercing manner and often resulting in deeper lacerations to tissues</w:t>
      </w:r>
      <w:r>
        <w:t xml:space="preserve"> </w:t>
      </w:r>
      <w:r>
        <w:t xml:space="preserve">and organs. Blunt trauma with enough force can however be penetrating</w:t>
      </w:r>
      <w:r>
        <w:t xml:space="preserve"> </w:t>
      </w:r>
      <w:r>
        <w:t xml:space="preserve">in character</w:t>
      </w:r>
      <w:r>
        <w:t xml:space="preserve"> </w:t>
      </w:r>
      <w:r>
        <w:t xml:space="preserve">(Hexdall and Miglietta 2011)</w:t>
      </w:r>
      <w:r>
        <w:t xml:space="preserve">.</w:t>
      </w:r>
    </w:p>
    <w:p>
      <w:pPr>
        <w:pStyle w:val="BodyText"/>
      </w:pPr>
      <w:r>
        <w:t xml:space="preserve">Globally, the leading cause of injury are road traffic accidents</w:t>
      </w:r>
      <w:r>
        <w:t xml:space="preserve"> </w:t>
      </w:r>
      <w:r>
        <w:t xml:space="preserve">(Vos et al. 2020)</w:t>
      </w:r>
      <w:r>
        <w:t xml:space="preserve">;</w:t>
      </w:r>
      <w:r>
        <w:t xml:space="preserve">(Roth et al. 2018)</w:t>
      </w:r>
      <w:r>
        <w:t xml:space="preserve"> </w:t>
      </w:r>
      <w:r>
        <w:t xml:space="preserve">In Sweden, road traffic incidence account for around 40% of injuries and falls account for 40% of injuries</w:t>
      </w:r>
      <w:r>
        <w:t xml:space="preserve"> </w:t>
      </w:r>
      <w:r>
        <w:t xml:space="preserve">(SweTrau 2022)</w:t>
      </w:r>
      <w:r>
        <w:t xml:space="preserve">.</w:t>
      </w:r>
    </w:p>
    <w:bookmarkStart w:id="20" w:name="impact"/>
    <w:p>
      <w:pPr>
        <w:pStyle w:val="Heading2"/>
      </w:pPr>
      <w:r>
        <w:t xml:space="preserve">Impact</w:t>
      </w:r>
    </w:p>
    <w:p>
      <w:pPr>
        <w:pStyle w:val="FirstParagraph"/>
      </w:pPr>
      <w:r>
        <w:t xml:space="preserve">The impact of trauma depends greatly on the type of trauma, where it occurred and to whom it affected. Trauma contributes for 11.9% of global Years of life lost (YLL)</w:t>
      </w:r>
      <w:r>
        <w:t xml:space="preserve"> </w:t>
      </w:r>
      <w:r>
        <w:t xml:space="preserve">(Roth et al. 2018)</w:t>
      </w:r>
      <w:r>
        <w:t xml:space="preserve">. Furthermore, Trauma is associated with higher tendency to depression, post traumatic stress syndrome (PTSD), negative effects on cognitive functions etc.</w:t>
      </w:r>
      <w:r>
        <w:t xml:space="preserve"> </w:t>
      </w:r>
      <w:r>
        <w:t xml:space="preserve">(North 1999)</w:t>
      </w:r>
      <w:r>
        <w:t xml:space="preserve">;</w:t>
      </w:r>
      <w:r>
        <w:t xml:space="preserve">(Muscatelli et al. 2017)</w:t>
      </w:r>
      <w:r>
        <w:t xml:space="preserve">.</w:t>
      </w:r>
    </w:p>
    <w:p>
      <w:pPr>
        <w:pStyle w:val="BodyText"/>
      </w:pPr>
      <w:r>
        <w:t xml:space="preserve">Injuries are, however, not only a burden to the afflicted individual but also to communities and to society as a whole</w:t>
      </w:r>
      <w:r>
        <w:t xml:space="preserve"> </w:t>
      </w:r>
      <w:r>
        <w:t xml:space="preserve">(Newnam et al. 2014)</w:t>
      </w:r>
      <w:r>
        <w:t xml:space="preserve">. One aspect of such societal effects are the economic costs. There have been attempts to estimate the</w:t>
      </w:r>
      <w:r>
        <w:t xml:space="preserve"> </w:t>
      </w:r>
      <w:r>
        <w:t xml:space="preserve">global cost of injury it is a complicated task due to its variabitity. It is however estimated that the cost of road injuries alone account for 2%</w:t>
      </w:r>
      <w:r>
        <w:t xml:space="preserve"> </w:t>
      </w:r>
      <w:r>
        <w:t xml:space="preserve">of gross domestic product (GDP) in high-income countries</w:t>
      </w:r>
      <w:r>
        <w:t xml:space="preserve"> </w:t>
      </w:r>
      <w:r>
        <w:t xml:space="preserve">(Organization et al. 2014)</w:t>
      </w:r>
      <w:r>
        <w:t xml:space="preserve">.</w:t>
      </w:r>
    </w:p>
    <w:bookmarkEnd w:id="20"/>
    <w:bookmarkStart w:id="21" w:name="trauma-care-systems"/>
    <w:p>
      <w:pPr>
        <w:pStyle w:val="Heading2"/>
      </w:pPr>
      <w:r>
        <w:t xml:space="preserve">Trauma Care Systems</w:t>
      </w:r>
    </w:p>
    <w:p>
      <w:pPr>
        <w:pStyle w:val="FirstParagraph"/>
      </w:pPr>
      <w:r>
        <w:t xml:space="preserve">Trauma care is a multidisciplinary, complex, and time-critical</w:t>
      </w:r>
      <w:r>
        <w:t xml:space="preserve"> </w:t>
      </w:r>
      <w:r>
        <w:t xml:space="preserve">provision of healthcare delivered by specialized trauma</w:t>
      </w:r>
      <w:r>
        <w:t xml:space="preserve"> </w:t>
      </w:r>
      <w:r>
        <w:t xml:space="preserve">centres. A myriad of different specialities are involved in trauma care, including but not</w:t>
      </w:r>
      <w:r>
        <w:t xml:space="preserve"> </w:t>
      </w:r>
      <w:r>
        <w:t xml:space="preserve">limited to surgeons, orthopaedics, anaesthesiologists, emergency doctors and</w:t>
      </w:r>
      <w:r>
        <w:t xml:space="preserve"> </w:t>
      </w:r>
      <w:r>
        <w:t xml:space="preserve">nurses.</w:t>
      </w:r>
    </w:p>
    <w:p>
      <w:pPr>
        <w:pStyle w:val="BodyText"/>
      </w:pPr>
      <w:r>
        <w:t xml:space="preserve">Trauma centres have shown significantly less mortality compared to non-trauma centres. And the level of maturity of a trauma center is also correlated with reduced mortality which shows the significance of high quality and specialized care for trauma</w:t>
      </w:r>
      <w:r>
        <w:t xml:space="preserve"> </w:t>
      </w:r>
      <w:r>
        <w:t xml:space="preserve">(Alharbi et al. 2021)</w:t>
      </w:r>
      <w:r>
        <w:t xml:space="preserve">;</w:t>
      </w:r>
      <w:r>
        <w:t xml:space="preserve">(Mann et al. 1999)</w:t>
      </w:r>
      <w:r>
        <w:t xml:space="preserve">. A similar study in Sweden</w:t>
      </w:r>
      <w:r>
        <w:t xml:space="preserve"> </w:t>
      </w:r>
      <w:r>
        <w:t xml:space="preserve">(Candefjord, Asker, and Caragounis 2020)</w:t>
      </w:r>
      <w:r>
        <w:t xml:space="preserve"> </w:t>
      </w:r>
      <w:r>
        <w:t xml:space="preserve">showed 41% less 30-day mortality in a mature trauma centre compared to a non-trauma centre. However,</w:t>
      </w:r>
      <w:r>
        <w:br/>
      </w:r>
      <w:r>
        <w:t xml:space="preserve">even with established trauma care systems, due to its complexity and sensitivity to delay, it is prone</w:t>
      </w:r>
      <w:r>
        <w:t xml:space="preserve"> </w:t>
      </w:r>
      <w:r>
        <w:t xml:space="preserve">to errors</w:t>
      </w:r>
      <w:r>
        <w:t xml:space="preserve"> </w:t>
      </w:r>
      <w:r>
        <w:t xml:space="preserve">(Nikouline et al. 2021)</w:t>
      </w:r>
      <w:r>
        <w:t xml:space="preserve">;</w:t>
      </w:r>
      <w:r>
        <w:t xml:space="preserve">(Vioque et al. 2014)</w:t>
      </w:r>
      <w:r>
        <w:t xml:space="preserve"> </w:t>
      </w:r>
      <w:r>
        <w:t xml:space="preserve">which in turn can lead to complications and death.</w:t>
      </w:r>
      <w:r>
        <w:t xml:space="preserve"> </w:t>
      </w:r>
      <w:r>
        <w:t xml:space="preserve">Studies between 1990 and 2014 have shown a pooled preventable death rate of 20% with newer studies showing less</w:t>
      </w:r>
      <w:r>
        <w:t xml:space="preserve"> </w:t>
      </w:r>
      <w:r>
        <w:t xml:space="preserve">(Kwon, Garbett, and Kloecker 2014)</w:t>
      </w:r>
      <w:r>
        <w:t xml:space="preserve">. In a more recent study in A Swedish level I trauma centre they showed a 4% preventable death rate</w:t>
      </w:r>
      <w:r>
        <w:t xml:space="preserve"> </w:t>
      </w:r>
      <w:r>
        <w:t xml:space="preserve">(P. Ghorbani and Strömmer 2018)</w:t>
      </w:r>
      <w:r>
        <w:t xml:space="preserve">.</w:t>
      </w:r>
    </w:p>
    <w:bookmarkEnd w:id="21"/>
    <w:bookmarkStart w:id="24" w:name="quality-improvement"/>
    <w:p>
      <w:pPr>
        <w:pStyle w:val="Heading2"/>
      </w:pPr>
      <w:r>
        <w:t xml:space="preserve">Quality Improvement</w:t>
      </w:r>
    </w:p>
    <w:p>
      <w:pPr>
        <w:pStyle w:val="FirstParagraph"/>
      </w:pPr>
      <w:r>
        <w:t xml:space="preserve">In order to minimize errors in trauma care, Quality improvement (QI) programs were established by the World Health Organisation (WHO) and the</w:t>
      </w:r>
      <w:r>
        <w:t xml:space="preserve"> </w:t>
      </w:r>
      <w:r>
        <w:t xml:space="preserve">International Association for Trauma Surgery and Intensive Care</w:t>
      </w:r>
      <w:r>
        <w:t xml:space="preserve"> </w:t>
      </w:r>
      <w:r>
        <w:t xml:space="preserve">(IATSIC)</w:t>
      </w:r>
      <w:r>
        <w:t xml:space="preserve"> </w:t>
      </w:r>
      <w:r>
        <w:t xml:space="preserve">(Organization et al. 2009)</w:t>
      </w:r>
      <w:r>
        <w:t xml:space="preserve">. These programs are at the</w:t>
      </w:r>
      <w:r>
        <w:t xml:space="preserve"> </w:t>
      </w:r>
      <w:r>
        <w:t xml:space="preserve">core of current trauma care systems and its</w:t>
      </w:r>
      <w:r>
        <w:t xml:space="preserve"> </w:t>
      </w:r>
      <w:r>
        <w:t xml:space="preserve">development all around the world.</w:t>
      </w:r>
    </w:p>
    <w:p>
      <w:pPr>
        <w:pStyle w:val="BodyText"/>
      </w:pPr>
      <w:r>
        <w:t xml:space="preserve">QI programs consist of a set of recommended techniques that seek to</w:t>
      </w:r>
      <w:r>
        <w:t xml:space="preserve"> </w:t>
      </w:r>
      <w:r>
        <w:t xml:space="preserve">enable discussion and analysis of the trauma process in order to take</w:t>
      </w:r>
      <w:r>
        <w:t xml:space="preserve"> </w:t>
      </w:r>
      <w:r>
        <w:t xml:space="preserve">corrective measures for future success. Following techniques are being used: A multidisciplinary mortality and morbidity conference (MMC), A preventable death review panel and the use of audit filters</w:t>
      </w:r>
      <w:r>
        <w:t xml:space="preserve">(Organization et al. 2009)</w:t>
      </w:r>
      <w:r>
        <w:t xml:space="preserve">.</w:t>
      </w:r>
    </w:p>
    <w:bookmarkStart w:id="22" w:name="Xdce9a33b29ff309decef7c29580619f6de0a67e"/>
    <w:p>
      <w:pPr>
        <w:pStyle w:val="Heading3"/>
      </w:pPr>
      <w:r>
        <w:t xml:space="preserve">Morbidity and Mortality Conferences and Preventable Death Review Panels</w:t>
      </w:r>
    </w:p>
    <w:p>
      <w:pPr>
        <w:pStyle w:val="FirstParagraph"/>
      </w:pPr>
      <w:r>
        <w:t xml:space="preserve">The MMC is a central QI technique. It is and established framework of crucial</w:t>
      </w:r>
      <w:r>
        <w:t xml:space="preserve"> </w:t>
      </w:r>
      <w:r>
        <w:t xml:space="preserve">components of anonymity, a focus on specific adverse events, realising</w:t>
      </w:r>
      <w:r>
        <w:t xml:space="preserve"> </w:t>
      </w:r>
      <w:r>
        <w:t xml:space="preserve">flawed approaches, critical analysis and lastly the effort to change</w:t>
      </w:r>
      <w:r>
        <w:t xml:space="preserve"> </w:t>
      </w:r>
      <w:r>
        <w:t xml:space="preserve">and practice that change.</w:t>
      </w:r>
      <w:r>
        <w:t xml:space="preserve"> </w:t>
      </w:r>
      <w:r>
        <w:t xml:space="preserve">(Gregor and Taylor 2016)</w:t>
      </w:r>
    </w:p>
    <w:p>
      <w:pPr>
        <w:pStyle w:val="BodyText"/>
      </w:pPr>
      <w:r>
        <w:t xml:space="preserve">The MMC are regularly scheduled meetings in which specific</w:t>
      </w:r>
      <w:r>
        <w:t xml:space="preserve"> </w:t>
      </w:r>
      <w:r>
        <w:t xml:space="preserve">patient cases are brought up and discussed between healthcare</w:t>
      </w:r>
      <w:r>
        <w:t xml:space="preserve"> </w:t>
      </w:r>
      <w:r>
        <w:t xml:space="preserve">professionals from all the different disciplines involved in trauma</w:t>
      </w:r>
      <w:r>
        <w:t xml:space="preserve"> </w:t>
      </w:r>
      <w:r>
        <w:t xml:space="preserve">care and its processes. It is recommended that they are around 40</w:t>
      </w:r>
      <w:r>
        <w:t xml:space="preserve"> </w:t>
      </w:r>
      <w:r>
        <w:t xml:space="preserve">minutes but this varies between different</w:t>
      </w:r>
      <w:r>
        <w:t xml:space="preserve"> </w:t>
      </w:r>
      <w:r>
        <w:t xml:space="preserve">hospitals</w:t>
      </w:r>
      <w:r>
        <w:t xml:space="preserve"> </w:t>
      </w:r>
      <w:r>
        <w:t xml:space="preserve">(Organization et al. 2009)</w:t>
      </w:r>
      <w:r>
        <w:t xml:space="preserve">.</w:t>
      </w:r>
    </w:p>
    <w:p>
      <w:pPr>
        <w:pStyle w:val="BodyText"/>
      </w:pPr>
      <w:r>
        <w:t xml:space="preserve">Five themes have been proposed that broadly define QI centred MMC: (1) clear definition of the role of MMC (2), involving stakeholders, (3) detecting and selecting appropriate patient cases for presentation, (4) structuring goal-directed discussion, and (5) forming recommendations and assigning follow-up</w:t>
      </w:r>
      <w:r>
        <w:t xml:space="preserve">(Giesbrecht and Au 2016)</w:t>
      </w:r>
      <w:r>
        <w:t xml:space="preserve">;</w:t>
      </w:r>
      <w:r>
        <w:t xml:space="preserve">(Churchill, Murphy, and Smith 2020)</w:t>
      </w:r>
      <w:r>
        <w:t xml:space="preserve">.</w:t>
      </w:r>
    </w:p>
    <w:p>
      <w:pPr>
        <w:pStyle w:val="BodyText"/>
      </w:pPr>
      <w:r>
        <w:t xml:space="preserve">When effectively implemented,</w:t>
      </w:r>
      <w:r>
        <w:t xml:space="preserve"> </w:t>
      </w:r>
      <w:r>
        <w:t xml:space="preserve">MMC serve as a crucial fault-examining tool without being solely negative marks against individual care</w:t>
      </w:r>
      <w:r>
        <w:t xml:space="preserve"> </w:t>
      </w:r>
      <w:r>
        <w:t xml:space="preserve">providers, instead being incentives for reporting. These conferences promote a</w:t>
      </w:r>
      <w:r>
        <w:t xml:space="preserve"> </w:t>
      </w:r>
      <w:r>
        <w:t xml:space="preserve">broader, system-based approach that emphasizes the analysis of tasks,</w:t>
      </w:r>
      <w:r>
        <w:t xml:space="preserve"> </w:t>
      </w:r>
      <w:r>
        <w:t xml:space="preserve">teamwork, and quality improvement</w:t>
      </w:r>
      <w:r>
        <w:t xml:space="preserve">(Lazzara et al. 2022)</w:t>
      </w:r>
      <w:r>
        <w:t xml:space="preserve">. The implementation of MMC have been shown to increase reporting of morbidity and mortality</w:t>
      </w:r>
      <w:r>
        <w:t xml:space="preserve">(Kong and Clarke 2016)</w:t>
      </w:r>
      <w:r>
        <w:t xml:space="preserve">.</w:t>
      </w:r>
    </w:p>
    <w:p>
      <w:pPr>
        <w:pStyle w:val="BodyText"/>
      </w:pPr>
      <w:r>
        <w:t xml:space="preserve">Following the MMC there is a preventable death review panel with the soul purpose of determining whether the death of a patient could have been preventable</w:t>
      </w:r>
      <w:r>
        <w:t xml:space="preserve"> </w:t>
      </w:r>
      <w:r>
        <w:t xml:space="preserve">(Poya Ghorbani et al. 2014)</w:t>
      </w:r>
      <w:r>
        <w:t xml:space="preserve">.</w:t>
      </w:r>
    </w:p>
    <w:bookmarkEnd w:id="22"/>
    <w:bookmarkStart w:id="23" w:name="Xce2fa45168313b83fc33e98c3e54831a0b05ce4"/>
    <w:p>
      <w:pPr>
        <w:pStyle w:val="Heading3"/>
      </w:pPr>
      <w:r>
        <w:t xml:space="preserve">Audit filters and Opportunities for improvement</w:t>
      </w:r>
    </w:p>
    <w:p>
      <w:pPr>
        <w:pStyle w:val="FirstParagraph"/>
      </w:pPr>
      <w:r>
        <w:t xml:space="preserve">Audit filters also known as quality indicators are specific</w:t>
      </w:r>
      <w:r>
        <w:t xml:space="preserve"> </w:t>
      </w:r>
      <w:r>
        <w:t xml:space="preserve">established criteria involved in trauma processes and care. It is used</w:t>
      </w:r>
      <w:r>
        <w:t xml:space="preserve"> </w:t>
      </w:r>
      <w:r>
        <w:t xml:space="preserve">to detect deviation from standardized care in order to further analyse</w:t>
      </w:r>
      <w:r>
        <w:t xml:space="preserve"> </w:t>
      </w:r>
      <w:r>
        <w:t xml:space="preserve">the cause behind complications in trauma patients. An</w:t>
      </w:r>
      <w:r>
        <w:t xml:space="preserve"> </w:t>
      </w:r>
      <w:r>
        <w:t xml:space="preserve">audit filters can be death and the placement of 2 large bore intravenous</w:t>
      </w:r>
      <w:r>
        <w:t xml:space="preserve"> </w:t>
      </w:r>
      <w:r>
        <w:t xml:space="preserve">lines within 15 minutes from arrival to a healthcare facility</w:t>
      </w:r>
      <w:r>
        <w:t xml:space="preserve"> </w:t>
      </w:r>
      <w:r>
        <w:t xml:space="preserve">(Organization et al. 2009)</w:t>
      </w:r>
      <w:r>
        <w:t xml:space="preserve">. The purpose of audit filters is to improve quality of care.</w:t>
      </w:r>
    </w:p>
    <w:p>
      <w:pPr>
        <w:pStyle w:val="BodyText"/>
      </w:pPr>
      <w:r>
        <w:t xml:space="preserve">Earlier studies showed a reduction in trauma related mortality after the implementation of audit filters</w:t>
      </w:r>
      <w:r>
        <w:t xml:space="preserve"> </w:t>
      </w:r>
      <w:r>
        <w:t xml:space="preserve">(Chadbunchachai et al. 2001)</w:t>
      </w:r>
      <w:r>
        <w:t xml:space="preserve">. However, newer studies seem to differ. In 2009 there was an extensive</w:t>
      </w:r>
      <w:r>
        <w:t xml:space="preserve"> </w:t>
      </w:r>
      <w:r>
        <w:t xml:space="preserve">review made that sought to determine if audit filters could be used in</w:t>
      </w:r>
      <w:r>
        <w:t xml:space="preserve"> </w:t>
      </w:r>
      <w:r>
        <w:t xml:space="preserve">improving processes of trauma care however none of the studies met</w:t>
      </w:r>
      <w:r>
        <w:t xml:space="preserve"> </w:t>
      </w:r>
      <w:r>
        <w:t xml:space="preserve">established inclusion criteria</w:t>
      </w:r>
      <w:r>
        <w:t xml:space="preserve"> </w:t>
      </w:r>
      <w:r>
        <w:t xml:space="preserve">(Evans et al. 2009)</w:t>
      </w:r>
      <w:r>
        <w:t xml:space="preserve">. The use of audit filters</w:t>
      </w:r>
      <w:r>
        <w:t xml:space="preserve"> </w:t>
      </w:r>
      <w:r>
        <w:t xml:space="preserve">have also been associated with high frequencies of false positives,</w:t>
      </w:r>
      <w:r>
        <w:t xml:space="preserve"> </w:t>
      </w:r>
      <w:r>
        <w:t xml:space="preserve">ranging from 24% to 80%.</w:t>
      </w:r>
      <w:r>
        <w:t xml:space="preserve">(Sanddal et al. 2011)</w:t>
      </w:r>
      <w:r>
        <w:t xml:space="preserve">;</w:t>
      </w:r>
      <w:r>
        <w:t xml:space="preserve"> </w:t>
      </w:r>
      <w:r>
        <w:t xml:space="preserve">(Roy et al. 2017)</w:t>
      </w:r>
      <w:r>
        <w:t xml:space="preserve">.</w:t>
      </w:r>
    </w:p>
    <w:p>
      <w:pPr>
        <w:pStyle w:val="BodyText"/>
      </w:pPr>
      <w:r>
        <w:t xml:space="preserve">OFIs are the endpoint and aim of MMC. Following the review of individual patient cases there is</w:t>
      </w:r>
      <w:r>
        <w:t xml:space="preserve"> </w:t>
      </w:r>
      <w:r>
        <w:t xml:space="preserve">a consensus decision made regarding the existence of an OFI. It has</w:t>
      </w:r>
      <w:r>
        <w:t xml:space="preserve"> </w:t>
      </w:r>
      <w:r>
        <w:t xml:space="preserve">been shown that such review process is associated with high-quality</w:t>
      </w:r>
      <w:r>
        <w:t xml:space="preserve"> </w:t>
      </w:r>
      <w:r>
        <w:t xml:space="preserve">trauma care</w:t>
      </w:r>
      <w:r>
        <w:t xml:space="preserve"> </w:t>
      </w:r>
      <w:r>
        <w:t xml:space="preserve">(Santana, Stelfox, et al. 2014)</w:t>
      </w:r>
      <w:r>
        <w:t xml:space="preserve">. OFIs are typically associated with failures in</w:t>
      </w:r>
      <w:r>
        <w:t xml:space="preserve"> </w:t>
      </w:r>
      <w:r>
        <w:t xml:space="preserve">initial care</w:t>
      </w:r>
      <w:r>
        <w:t xml:space="preserve"> </w:t>
      </w:r>
      <w:r>
        <w:t xml:space="preserve">(Vioque et al. 2014)</w:t>
      </w:r>
      <w:r>
        <w:t xml:space="preserve">, specifically in airway</w:t>
      </w:r>
      <w:r>
        <w:t xml:space="preserve"> </w:t>
      </w:r>
      <w:r>
        <w:t xml:space="preserve">management, fluid resuscitation, haemorrhage control and chest injury</w:t>
      </w:r>
      <w:r>
        <w:t xml:space="preserve"> </w:t>
      </w:r>
      <w:r>
        <w:t xml:space="preserve">management</w:t>
      </w:r>
      <w:r>
        <w:t xml:space="preserve"> </w:t>
      </w:r>
      <w:r>
        <w:t xml:space="preserve">(Sanddal et al. 2011)</w:t>
      </w:r>
      <w:r>
        <w:t xml:space="preserve">;</w:t>
      </w:r>
      <w:r>
        <w:t xml:space="preserve"> </w:t>
      </w:r>
      <w:r>
        <w:t xml:space="preserve">(Roy et al. 2017)</w:t>
      </w:r>
      <w:r>
        <w:t xml:space="preserve">;</w:t>
      </w:r>
      <w:r>
        <w:t xml:space="preserve"> </w:t>
      </w:r>
      <w:r>
        <w:t xml:space="preserve">(O’reilly et al. 2013)</w:t>
      </w:r>
      <w:r>
        <w:t xml:space="preserve">.</w:t>
      </w:r>
      <w:r>
        <w:t xml:space="preserve"> </w:t>
      </w:r>
      <w:r>
        <w:t xml:space="preserve">Some audit filters seem to not correlate with</w:t>
      </w:r>
      <w:r>
        <w:t xml:space="preserve"> </w:t>
      </w:r>
      <w:r>
        <w:t xml:space="preserve">OFIs at all</w:t>
      </w:r>
      <w:r>
        <w:t xml:space="preserve"> </w:t>
      </w:r>
      <w:r>
        <w:t xml:space="preserve">(Lewis et al. 2017)</w:t>
      </w:r>
    </w:p>
    <w:bookmarkEnd w:id="23"/>
    <w:bookmarkEnd w:id="24"/>
    <w:bookmarkStart w:id="25" w:name="aim"/>
    <w:p>
      <w:pPr>
        <w:pStyle w:val="Heading2"/>
      </w:pPr>
      <w:r>
        <w:t xml:space="preserve">Aim</w:t>
      </w:r>
    </w:p>
    <w:p>
      <w:pPr>
        <w:pStyle w:val="FirstParagraph"/>
      </w:pPr>
      <w:r>
        <w:t xml:space="preserve">The aim of the study is to determine whether audit filters are good indicators for predicting OFIs.</w:t>
      </w:r>
    </w:p>
    <w:bookmarkEnd w:id="25"/>
    <w:bookmarkEnd w:id="26"/>
    <w:bookmarkStart w:id="69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conducted a registry-based cohort study which uses data from the trauma</w:t>
      </w:r>
      <w:r>
        <w:t xml:space="preserve"> </w:t>
      </w:r>
      <w:r>
        <w:t xml:space="preserve">registry and trauma care quality database at the Karolinska University</w:t>
      </w:r>
      <w:r>
        <w:t xml:space="preserve"> </w:t>
      </w:r>
      <w:r>
        <w:t xml:space="preserve">hospital in Solna in order to evaluate the performance of individual</w:t>
      </w:r>
      <w:r>
        <w:t xml:space="preserve"> </w:t>
      </w:r>
      <w:r>
        <w:t xml:space="preserve">audit filters in predicting OFIs.</w:t>
      </w:r>
    </w:p>
    <w:bookmarkStart w:id="27" w:name="study-setting-and-population"/>
    <w:p>
      <w:pPr>
        <w:pStyle w:val="Heading2"/>
      </w:pPr>
      <w:r>
        <w:t xml:space="preserve">Study setting and population</w:t>
      </w:r>
    </w:p>
    <w:p>
      <w:pPr>
        <w:pStyle w:val="FirstParagraph"/>
      </w:pPr>
      <w:r>
        <w:t xml:space="preserve">Karolinska University Hospital is classified as a Trauma level I</w:t>
      </w:r>
      <w:r>
        <w:t xml:space="preserve"> </w:t>
      </w:r>
      <w:r>
        <w:t xml:space="preserve">hospital. Every year around 1500 patients receive treatment at the</w:t>
      </w:r>
      <w:r>
        <w:t xml:space="preserve"> </w:t>
      </w:r>
      <w:r>
        <w:t xml:space="preserve">hospital. If a patient case results in team activation it is added to</w:t>
      </w:r>
      <w:r>
        <w:t xml:space="preserve"> </w:t>
      </w:r>
      <w:r>
        <w:t xml:space="preserve">the Karolinska trauma registry. If no team activation occurred but the</w:t>
      </w:r>
      <w:r>
        <w:t xml:space="preserve"> </w:t>
      </w:r>
      <w:r>
        <w:t xml:space="preserve">patient had ISS&gt;9 retrospectively it is also included in the registry.</w:t>
      </w:r>
      <w:r>
        <w:t xml:space="preserve"> </w:t>
      </w:r>
      <w:r>
        <w:t xml:space="preserve">The Karolinska trauma registry reports to the</w:t>
      </w:r>
      <w:r>
        <w:t xml:space="preserve"> </w:t>
      </w:r>
      <w:r>
        <w:t xml:space="preserve">Swedish Trauma registry (SweTrau). The registry includes data on vital</w:t>
      </w:r>
      <w:r>
        <w:t xml:space="preserve"> </w:t>
      </w:r>
      <w:r>
        <w:t xml:space="preserve">signs, times, injuries, and interventions as well as patient</w:t>
      </w:r>
      <w:r>
        <w:t xml:space="preserve"> </w:t>
      </w:r>
      <w:r>
        <w:t xml:space="preserve">demographics according to the European consensus statement, the Utstein</w:t>
      </w:r>
      <w:r>
        <w:t xml:space="preserve"> </w:t>
      </w:r>
      <w:r>
        <w:t xml:space="preserve">template</w:t>
      </w:r>
    </w:p>
    <w:p>
      <w:pPr>
        <w:pStyle w:val="BodyText"/>
      </w:pPr>
      <w:r>
        <w:t xml:space="preserve">The Karolinska trauma registry also contains a care quality database including specific audit filters and OFIs that are determined in MMC</w:t>
      </w:r>
      <w:r>
        <w:t xml:space="preserve"> </w:t>
      </w:r>
      <w:r>
        <w:t xml:space="preserve">conferences through consensus decision.</w:t>
      </w:r>
    </w:p>
    <w:p>
      <w:pPr>
        <w:pStyle w:val="BodyText"/>
      </w:pPr>
      <w:r>
        <w:t xml:space="preserve">This process of determining OFIs unfolds in multiple stages,</w:t>
      </w:r>
      <w:r>
        <w:t xml:space="preserve"> </w:t>
      </w:r>
      <w:r>
        <w:t xml:space="preserve">characterized by escalating levels of scrutiny. Notably, instances of</w:t>
      </w:r>
      <w:r>
        <w:t xml:space="preserve"> </w:t>
      </w:r>
      <w:r>
        <w:t xml:space="preserve">mortality are directly referred to the multidisciplinary conference,</w:t>
      </w:r>
      <w:r>
        <w:t xml:space="preserve"> </w:t>
      </w:r>
      <w:r>
        <w:t xml:space="preserve">where, in addition to assessing OFIs, a determination is made regarding</w:t>
      </w:r>
      <w:r>
        <w:t xml:space="preserve"> </w:t>
      </w:r>
      <w:r>
        <w:t xml:space="preserve">whether the death was preventable or potentially preventable, a</w:t>
      </w:r>
      <w:r>
        <w:t xml:space="preserve"> </w:t>
      </w:r>
      <w:r>
        <w:t xml:space="preserve">classification also falling under the purview of OFIs.</w:t>
      </w:r>
    </w:p>
    <w:p>
      <w:pPr>
        <w:pStyle w:val="BodyText"/>
      </w:pPr>
      <w:r>
        <w:t xml:space="preserve">From 2013 to 2017 there was an effort put forward in identifying adverse</w:t>
      </w:r>
      <w:r>
        <w:t xml:space="preserve"> </w:t>
      </w:r>
      <w:r>
        <w:t xml:space="preserve">outcomes which where unrelated to mortality, the review process</w:t>
      </w:r>
      <w:r>
        <w:t xml:space="preserve"> </w:t>
      </w:r>
      <w:r>
        <w:t xml:space="preserve">underwent subsequent refinement and formalization during the study</w:t>
      </w:r>
      <w:r>
        <w:t xml:space="preserve"> </w:t>
      </w:r>
      <w:r>
        <w:t xml:space="preserve">period. During the initial period each trauma patient case underwent individual</w:t>
      </w:r>
      <w:r>
        <w:t xml:space="preserve"> </w:t>
      </w:r>
      <w:r>
        <w:t xml:space="preserve">assessments by a specialized trauma nurse in order to identify potential</w:t>
      </w:r>
      <w:r>
        <w:t xml:space="preserve"> </w:t>
      </w:r>
      <w:r>
        <w:t xml:space="preserve">OFIs. It was, however not until 2017 in which this procedure was</w:t>
      </w:r>
      <w:r>
        <w:t xml:space="preserve"> </w:t>
      </w:r>
      <w:r>
        <w:t xml:space="preserve">formalized and it became standardized to incorporate a preliminary</w:t>
      </w:r>
      <w:r>
        <w:t xml:space="preserve"> </w:t>
      </w:r>
      <w:r>
        <w:t xml:space="preserve">individual evaluation by a specialized trauma nurse upon data</w:t>
      </w:r>
      <w:r>
        <w:t xml:space="preserve"> </w:t>
      </w:r>
      <w:r>
        <w:t xml:space="preserve">registration in the trauma registry and the trauma quality database. The</w:t>
      </w:r>
      <w:r>
        <w:t xml:space="preserve"> </w:t>
      </w:r>
      <w:r>
        <w:t xml:space="preserve">trauma quality data underwent screening of audit filters. All cases</w:t>
      </w:r>
      <w:r>
        <w:t xml:space="preserve"> </w:t>
      </w:r>
      <w:r>
        <w:t xml:space="preserve">falling within the criteria delineated by these filters, along with</w:t>
      </w:r>
      <w:r>
        <w:t xml:space="preserve"> </w:t>
      </w:r>
      <w:r>
        <w:t xml:space="preserve">those trauma patients flagged by the nurse during the initial review for</w:t>
      </w:r>
      <w:r>
        <w:t xml:space="preserve"> </w:t>
      </w:r>
      <w:r>
        <w:t xml:space="preserve">possible care failures, were subjected to a secondary review by two</w:t>
      </w:r>
      <w:r>
        <w:t xml:space="preserve"> </w:t>
      </w:r>
      <w:r>
        <w:t xml:space="preserve">specialized nurses. Subsequent identification of a potential OFI during</w:t>
      </w:r>
      <w:r>
        <w:t xml:space="preserve"> </w:t>
      </w:r>
      <w:r>
        <w:t xml:space="preserve">this second review prompted a comprehensive evaluation of the respective</w:t>
      </w:r>
      <w:r>
        <w:t xml:space="preserve"> </w:t>
      </w:r>
      <w:r>
        <w:t xml:space="preserve">trauma patient’s case.</w:t>
      </w:r>
    </w:p>
    <w:bookmarkEnd w:id="27"/>
    <w:bookmarkStart w:id="28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In this study, we included all who underwent screening for OFIs. Exclusion criteria were</w:t>
      </w:r>
      <w:r>
        <w:t xml:space="preserve"> </w:t>
      </w:r>
      <w:r>
        <w:t xml:space="preserve">applied to individuals under the age of 15, as their clinical management</w:t>
      </w:r>
      <w:r>
        <w:t xml:space="preserve"> </w:t>
      </w:r>
      <w:r>
        <w:t xml:space="preserve">process has notable distinctions compared to those applicable to the</w:t>
      </w:r>
      <w:r>
        <w:t xml:space="preserve"> </w:t>
      </w:r>
      <w:r>
        <w:t xml:space="preserve">adult population.</w:t>
      </w:r>
    </w:p>
    <w:bookmarkEnd w:id="28"/>
    <w:bookmarkStart w:id="31" w:name="variables"/>
    <w:p>
      <w:pPr>
        <w:pStyle w:val="Heading2"/>
      </w:pPr>
      <w:r>
        <w:t xml:space="preserve">Variables</w:t>
      </w:r>
    </w:p>
    <w:bookmarkStart w:id="29" w:name="outcome"/>
    <w:p>
      <w:pPr>
        <w:pStyle w:val="Heading3"/>
      </w:pPr>
      <w:r>
        <w:t xml:space="preserve">Outcome</w:t>
      </w:r>
    </w:p>
    <w:p>
      <w:pPr>
        <w:pStyle w:val="FirstParagraph"/>
      </w:pPr>
      <w:r>
        <w:t xml:space="preserve">The outcome variable in this study is an OFI, as established by the MMC</w:t>
      </w:r>
      <w:r>
        <w:t xml:space="preserve"> </w:t>
      </w:r>
      <w:r>
        <w:t xml:space="preserve">conference through unanimous decision and furthermore valued as a binary</w:t>
      </w:r>
      <w:r>
        <w:t xml:space="preserve"> </w:t>
      </w:r>
      <w:r>
        <w:t xml:space="preserve">variable with</w:t>
      </w:r>
      <w:r>
        <w:t xml:space="preserve"> </w:t>
      </w:r>
      <w:r>
        <w:t xml:space="preserve">“</w:t>
      </w:r>
      <w:r>
        <w:t xml:space="preserve">Yes - At least one OFI identified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 - No OFI</w:t>
      </w:r>
      <w:r>
        <w:t xml:space="preserve"> </w:t>
      </w:r>
      <w:r>
        <w:t xml:space="preserve">identified</w:t>
      </w:r>
      <w:r>
        <w:t xml:space="preserve">”</w:t>
      </w:r>
      <w:r>
        <w:t xml:space="preserve">.</w:t>
      </w:r>
    </w:p>
    <w:bookmarkEnd w:id="29"/>
    <w:bookmarkStart w:id="30" w:name="exposures"/>
    <w:p>
      <w:pPr>
        <w:pStyle w:val="Heading3"/>
      </w:pPr>
      <w:r>
        <w:t xml:space="preserve">Exposures</w:t>
      </w:r>
    </w:p>
    <w:p>
      <w:pPr>
        <w:pStyle w:val="FirstParagraph"/>
      </w:pPr>
      <w:r>
        <w:t xml:space="preserve">The exposure variable is the audit filters. The following audit filters are of interest:</w:t>
      </w:r>
    </w:p>
    <w:p>
      <w:pPr>
        <w:pStyle w:val="BodyText"/>
      </w:pPr>
      <w:r>
        <w:t xml:space="preserve">• Systolic blood pressure less than 90</w:t>
      </w:r>
    </w:p>
    <w:p>
      <w:pPr>
        <w:pStyle w:val="BodyText"/>
      </w:pPr>
      <w:r>
        <w:t xml:space="preserve">• Glasgow coma scale less than 9 and not intubated</w:t>
      </w:r>
    </w:p>
    <w:p>
      <w:pPr>
        <w:pStyle w:val="BodyText"/>
      </w:pPr>
      <w:r>
        <w:t xml:space="preserve">• Injury severity score greater than 15 but not admitted to the intensive care unit</w:t>
      </w:r>
    </w:p>
    <w:p>
      <w:pPr>
        <w:pStyle w:val="BodyText"/>
      </w:pPr>
      <w:r>
        <w:t xml:space="preserve">• Time to acute intervention more than 60 minutes from arrival to hospital</w:t>
      </w:r>
    </w:p>
    <w:p>
      <w:pPr>
        <w:pStyle w:val="BodyText"/>
      </w:pPr>
      <w:r>
        <w:t xml:space="preserve">• Time to computed tomography more than 30 minutes from arrival to hospital</w:t>
      </w:r>
    </w:p>
    <w:p>
      <w:pPr>
        <w:pStyle w:val="BodyText"/>
      </w:pPr>
      <w:r>
        <w:t xml:space="preserve">• No anticoagulant therapy within 72 hours after traumatic brain injury</w:t>
      </w:r>
    </w:p>
    <w:p>
      <w:pPr>
        <w:pStyle w:val="BodyText"/>
      </w:pPr>
      <w:r>
        <w:t xml:space="preserve">• The presence of cardio-pulmonary resuscitation with thoracotomy</w:t>
      </w:r>
    </w:p>
    <w:p>
      <w:pPr>
        <w:pStyle w:val="BodyText"/>
      </w:pPr>
      <w:r>
        <w:t xml:space="preserve">• The presence of a liver or spleen injury</w:t>
      </w:r>
    </w:p>
    <w:p>
      <w:pPr>
        <w:pStyle w:val="BodyText"/>
      </w:pPr>
      <w:r>
        <w:t xml:space="preserve">• Massive transfusion, defined as 10 or more units of packed red blood cells within 24 hours.</w:t>
      </w:r>
    </w:p>
    <w:bookmarkEnd w:id="30"/>
    <w:bookmarkEnd w:id="31"/>
    <w:bookmarkStart w:id="32" w:name="data-sourcesmeasurement"/>
    <w:p>
      <w:pPr>
        <w:pStyle w:val="Heading2"/>
      </w:pPr>
      <w:r>
        <w:t xml:space="preserve">Data sources/measurement</w:t>
      </w:r>
    </w:p>
    <w:p>
      <w:pPr>
        <w:pStyle w:val="FirstParagraph"/>
      </w:pPr>
      <w:r>
        <w:t xml:space="preserve">The data will be retrieved from the trauma registry and the trauma care quality database</w:t>
      </w:r>
      <w:r>
        <w:t xml:space="preserve"> </w:t>
      </w:r>
      <w:r>
        <w:t xml:space="preserve">during the period spanning from 2012 to 2022.</w:t>
      </w:r>
    </w:p>
    <w:bookmarkEnd w:id="32"/>
    <w:bookmarkStart w:id="33" w:name="bias"/>
    <w:p>
      <w:pPr>
        <w:pStyle w:val="Heading2"/>
      </w:pPr>
      <w:r>
        <w:t xml:space="preserve">Bias</w:t>
      </w:r>
    </w:p>
    <w:p>
      <w:pPr>
        <w:pStyle w:val="FirstParagraph"/>
      </w:pPr>
      <w:r>
        <w:t xml:space="preserve">Selection bias since the outcome of this study has already occurred.</w:t>
      </w:r>
      <w:r>
        <w:br/>
      </w:r>
      <w:r>
        <w:t xml:space="preserve">There is a possibility that concensus decisions from the MMC conferences are flawed which causes misclassification bias.</w:t>
      </w:r>
    </w:p>
    <w:bookmarkEnd w:id="33"/>
    <w:bookmarkStart w:id="34" w:name="study-size"/>
    <w:p>
      <w:pPr>
        <w:pStyle w:val="Heading2"/>
      </w:pPr>
      <w:r>
        <w:t xml:space="preserve">Study size</w:t>
      </w:r>
    </w:p>
    <w:p>
      <w:pPr>
        <w:pStyle w:val="FirstParagraph"/>
      </w:pPr>
      <w:r>
        <w:t xml:space="preserve">The study cohort encompasses all eligible patients treated at the hospital from 2012 to 2022. There were only two patient cases from 2012.</w:t>
      </w:r>
    </w:p>
    <w:bookmarkEnd w:id="34"/>
    <w:bookmarkStart w:id="35" w:name="statistical-methods"/>
    <w:p>
      <w:pPr>
        <w:pStyle w:val="Heading2"/>
      </w:pPr>
      <w:r>
        <w:t xml:space="preserve">Statistical methods</w:t>
      </w:r>
    </w:p>
    <w:p>
      <w:pPr>
        <w:pStyle w:val="FirstParagraph"/>
      </w:pPr>
      <w:r>
        <w:t xml:space="preserve">The study results are generated by statistical analytics methods with the help of the statistical programming language, R.</w:t>
      </w:r>
      <w:r>
        <w:t xml:space="preserve"> </w:t>
      </w:r>
      <w:r>
        <w:t xml:space="preserve">(R Core Team 2022)</w:t>
      </w:r>
    </w:p>
    <w:p>
      <w:pPr>
        <w:pStyle w:val="BodyText"/>
      </w:pPr>
      <w:r>
        <w:t xml:space="preserve">To calculate the sensitivity and specificity of each individual audit filter in predicting an OFI a mathematical equation is used:</w:t>
      </w:r>
    </w:p>
    <w:p>
      <w:pPr>
        <w:pStyle w:val="BodyText"/>
      </w:pPr>
      <w:r>
        <w:t xml:space="preserve">The sensitivity is calculated accordingly: True positives / (true positives + false negatives)</w:t>
      </w:r>
    </w:p>
    <w:p>
      <w:pPr>
        <w:pStyle w:val="BodyText"/>
      </w:pPr>
      <w:r>
        <w:t xml:space="preserve">The specificity is calculated accordingly: True negatives / (true negatives + false positives)</w:t>
      </w:r>
    </w:p>
    <w:p>
      <w:pPr>
        <w:pStyle w:val="BodyText"/>
      </w:pPr>
      <w:r>
        <w:t xml:space="preserve">This project will link the two</w:t>
      </w:r>
      <w:r>
        <w:t xml:space="preserve"> </w:t>
      </w:r>
      <w:r>
        <w:t xml:space="preserve">databases and assess the performance of each audit filter in terms of discrimination and accuracy. Logistic regression and a 5% significance level and 95% confidence</w:t>
      </w:r>
      <w:r>
        <w:t xml:space="preserve"> </w:t>
      </w:r>
      <w:r>
        <w:t xml:space="preserve">level will be used.</w:t>
      </w:r>
    </w:p>
    <w:bookmarkEnd w:id="35"/>
    <w:bookmarkStart w:id="68" w:name="references"/>
    <w:p>
      <w:pPr>
        <w:pStyle w:val="Heading2"/>
      </w:pPr>
      <w:r>
        <w:t xml:space="preserve">References</w:t>
      </w:r>
    </w:p>
    <w:bookmarkStart w:id="67" w:name="refs"/>
    <w:bookmarkStart w:id="36" w:name="ref-alharbi2021effectiveness"/>
    <w:p>
      <w:pPr>
        <w:pStyle w:val="Bibliography"/>
      </w:pPr>
      <w:r>
        <w:t xml:space="preserve">Alharbi, Rayan Jafnan, Sumina Shrestha, Virginia Lewis, and Charne Miller. 2021.</w:t>
      </w:r>
      <w:r>
        <w:t xml:space="preserve"> </w:t>
      </w:r>
      <w:r>
        <w:t xml:space="preserve">“The Effectiveness of Trauma Care Systems at Different Stages of Development in Reducing Mortality: A Systematic Review and Meta-Analysis.”</w:t>
      </w:r>
      <w:r>
        <w:t xml:space="preserve"> </w:t>
      </w:r>
      <w:r>
        <w:rPr>
          <w:iCs/>
          <w:i/>
        </w:rPr>
        <w:t xml:space="preserve">World Journal of Emergency Surgery</w:t>
      </w:r>
      <w:r>
        <w:t xml:space="preserve"> </w:t>
      </w:r>
      <w:r>
        <w:t xml:space="preserve">16: 1–12.</w:t>
      </w:r>
    </w:p>
    <w:bookmarkEnd w:id="36"/>
    <w:bookmarkStart w:id="37" w:name="ref-candefjord2020mortality"/>
    <w:p>
      <w:pPr>
        <w:pStyle w:val="Bibliography"/>
      </w:pPr>
      <w:r>
        <w:t xml:space="preserve">Candefjord, Stefan, Linn Asker, and Eva-Corina Caragounis. 2020.</w:t>
      </w:r>
      <w:r>
        <w:t xml:space="preserve"> </w:t>
      </w:r>
      <w:r>
        <w:t xml:space="preserve">“Mortality of Trauma Patients Treated at Trauma Centers Compared to Non-Trauma Centers in Sweden: A Retrospective Study.”</w:t>
      </w:r>
      <w:r>
        <w:t xml:space="preserve"> </w:t>
      </w:r>
      <w:r>
        <w:rPr>
          <w:iCs/>
          <w:i/>
        </w:rPr>
        <w:t xml:space="preserve">European Journal of Trauma and Emergency Surgery</w:t>
      </w:r>
      <w:r>
        <w:t xml:space="preserve">, 1–12.</w:t>
      </w:r>
    </w:p>
    <w:bookmarkEnd w:id="37"/>
    <w:bookmarkStart w:id="38" w:name="ref-chadbunchachai2001comparative"/>
    <w:p>
      <w:pPr>
        <w:pStyle w:val="Bibliography"/>
      </w:pPr>
      <w:r>
        <w:t xml:space="preserve">Chadbunchachai, Witaya, S Sriwiwat, S Kulleab, S Saranrittichai, J Chumsri, and Piyaporn Jaikwang. 2001.</w:t>
      </w:r>
      <w:r>
        <w:t xml:space="preserve"> </w:t>
      </w:r>
      <w:r>
        <w:t xml:space="preserve">“The Comparative Study for Quality of Trauma Treatment Before and After the Revision of Trauma Audit Filter, Khon Kaen Hospital 1998.”</w:t>
      </w:r>
      <w:r>
        <w:t xml:space="preserve"> </w:t>
      </w:r>
      <w:r>
        <w:rPr>
          <w:iCs/>
          <w:i/>
        </w:rPr>
        <w:t xml:space="preserve">Journal of the Medical Association of Thailand= Chotmaihet Thangphaet</w:t>
      </w:r>
      <w:r>
        <w:t xml:space="preserve"> </w:t>
      </w:r>
      <w:r>
        <w:t xml:space="preserve">84 (6): 782–90.</w:t>
      </w:r>
    </w:p>
    <w:bookmarkEnd w:id="38"/>
    <w:bookmarkStart w:id="39" w:name="ref-churchill2020quality"/>
    <w:p>
      <w:pPr>
        <w:pStyle w:val="Bibliography"/>
      </w:pPr>
      <w:r>
        <w:t xml:space="preserve">Churchill, Kayla P, Justin Murphy, and Nick Smith. 2020.</w:t>
      </w:r>
      <w:r>
        <w:t xml:space="preserve"> </w:t>
      </w:r>
      <w:r>
        <w:t xml:space="preserve">“Quality Improvement Focused Morbidity and Mortality Rounds: An Integrative Review.”</w:t>
      </w:r>
      <w:r>
        <w:t xml:space="preserve"> </w:t>
      </w:r>
      <w:r>
        <w:rPr>
          <w:iCs/>
          <w:i/>
        </w:rPr>
        <w:t xml:space="preserve">Cureus</w:t>
      </w:r>
      <w:r>
        <w:t xml:space="preserve"> </w:t>
      </w:r>
      <w:r>
        <w:t xml:space="preserve">12 (12).</w:t>
      </w:r>
    </w:p>
    <w:bookmarkEnd w:id="39"/>
    <w:bookmarkStart w:id="40" w:name="ref-evans2009audit"/>
    <w:p>
      <w:pPr>
        <w:pStyle w:val="Bibliography"/>
      </w:pPr>
      <w:r>
        <w:t xml:space="preserve">Evans, Christopher, Daniel Howes, William Pickett, and Luigi Dagnone. 2009.</w:t>
      </w:r>
      <w:r>
        <w:t xml:space="preserve"> </w:t>
      </w:r>
      <w:r>
        <w:t xml:space="preserve">“Audit Filters for Improving Processes of Care and Clinical Outcomes in Trauma Systems.”</w:t>
      </w:r>
      <w:r>
        <w:t xml:space="preserve"> </w:t>
      </w:r>
      <w:r>
        <w:rPr>
          <w:iCs/>
          <w:i/>
        </w:rPr>
        <w:t xml:space="preserve">Cochrane Database of Systematic Reviews</w:t>
      </w:r>
      <w:r>
        <w:t xml:space="preserve">, no. 4.</w:t>
      </w:r>
    </w:p>
    <w:bookmarkEnd w:id="40"/>
    <w:bookmarkStart w:id="41" w:name="ref-ghorbani2014clinical"/>
    <w:p>
      <w:pPr>
        <w:pStyle w:val="Bibliography"/>
      </w:pPr>
      <w:r>
        <w:t xml:space="preserve">Ghorbani, Poya, Magnus Falkén, Louis Riddez, Martin Sundelöf, Anders Oldner, and Lovisa Strömmer. 2014.</w:t>
      </w:r>
      <w:r>
        <w:t xml:space="preserve"> </w:t>
      </w:r>
      <w:r>
        <w:t xml:space="preserve">“Clinical Review Is Essential to Evaluate 30-Day Mortality After Trauma.”</w:t>
      </w:r>
      <w:r>
        <w:t xml:space="preserve"> </w:t>
      </w:r>
      <w:r>
        <w:rPr>
          <w:iCs/>
          <w:i/>
        </w:rPr>
        <w:t xml:space="preserve">Scandinavian Journal of Trauma, Resuscitation and Emergency Medicine</w:t>
      </w:r>
      <w:r>
        <w:t xml:space="preserve"> </w:t>
      </w:r>
      <w:r>
        <w:t xml:space="preserve">22: 1–7.</w:t>
      </w:r>
    </w:p>
    <w:bookmarkEnd w:id="41"/>
    <w:bookmarkStart w:id="42" w:name="ref-ghorbani2018analysis"/>
    <w:p>
      <w:pPr>
        <w:pStyle w:val="Bibliography"/>
      </w:pPr>
      <w:r>
        <w:t xml:space="preserve">Ghorbani, P, and L Strömmer. 2018.</w:t>
      </w:r>
      <w:r>
        <w:t xml:space="preserve"> </w:t>
      </w:r>
      <w:r>
        <w:t xml:space="preserve">“Analysis of Preventable Deaths and Errors in Trauma Care in a Scandinavian Trauma Level-i Centre.”</w:t>
      </w:r>
      <w:r>
        <w:t xml:space="preserve"> </w:t>
      </w:r>
      <w:r>
        <w:rPr>
          <w:iCs/>
          <w:i/>
        </w:rPr>
        <w:t xml:space="preserve">Acta Anaesthesiologica Scandinavica</w:t>
      </w:r>
      <w:r>
        <w:t xml:space="preserve"> </w:t>
      </w:r>
      <w:r>
        <w:t xml:space="preserve">62 (8): 1146–53.</w:t>
      </w:r>
    </w:p>
    <w:bookmarkEnd w:id="42"/>
    <w:bookmarkStart w:id="43" w:name="ref-giesbrecht2016morbidity"/>
    <w:p>
      <w:pPr>
        <w:pStyle w:val="Bibliography"/>
      </w:pPr>
      <w:r>
        <w:t xml:space="preserve">Giesbrecht, Vanessa, and Selena Au. 2016.</w:t>
      </w:r>
      <w:r>
        <w:t xml:space="preserve"> </w:t>
      </w:r>
      <w:r>
        <w:t xml:space="preserve">“Morbidity and Mortality Conferences: A Narrative Review of Strategies to Prioritize Quality Improvement.”</w:t>
      </w:r>
      <w:r>
        <w:t xml:space="preserve"> </w:t>
      </w:r>
      <w:r>
        <w:rPr>
          <w:iCs/>
          <w:i/>
        </w:rPr>
        <w:t xml:space="preserve">The Joint Commission Journal on Quality and Patient Safety</w:t>
      </w:r>
      <w:r>
        <w:t xml:space="preserve"> </w:t>
      </w:r>
      <w:r>
        <w:t xml:space="preserve">42 (11): 516–27.</w:t>
      </w:r>
    </w:p>
    <w:bookmarkEnd w:id="43"/>
    <w:bookmarkStart w:id="44" w:name="ref-gregor2016morbidity"/>
    <w:p>
      <w:pPr>
        <w:pStyle w:val="Bibliography"/>
      </w:pPr>
      <w:r>
        <w:t xml:space="preserve">Gregor, Alexander, and David Taylor. 2016.</w:t>
      </w:r>
      <w:r>
        <w:t xml:space="preserve"> </w:t>
      </w:r>
      <w:r>
        <w:t xml:space="preserve">“Morbidity and Mortality Conference: Its Purpose Reclaimed and Grounded in Theory.”</w:t>
      </w:r>
      <w:r>
        <w:t xml:space="preserve"> </w:t>
      </w:r>
      <w:r>
        <w:rPr>
          <w:iCs/>
          <w:i/>
        </w:rPr>
        <w:t xml:space="preserve">Teaching and Learning in Medicine</w:t>
      </w:r>
      <w:r>
        <w:t xml:space="preserve"> </w:t>
      </w:r>
      <w:r>
        <w:t xml:space="preserve">28 (4): 439–47.</w:t>
      </w:r>
    </w:p>
    <w:bookmarkEnd w:id="44"/>
    <w:bookmarkStart w:id="45" w:name="ref-hexdall2011Mechanism"/>
    <w:p>
      <w:pPr>
        <w:pStyle w:val="Bibliography"/>
      </w:pPr>
      <w:r>
        <w:t xml:space="preserve">Hexdall, Aaron, and Maurizio A. Miglietta. 2011.</w:t>
      </w:r>
      <w:r>
        <w:t xml:space="preserve"> </w:t>
      </w:r>
      <w:r>
        <w:t xml:space="preserve">“Mechanism of Injury.”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Trauma: A Comprehensive Emergency Medicine Approach</w:t>
      </w:r>
      <w:r>
        <w:t xml:space="preserve">, edited by Eric Legome and Lee W.Editors Shockley, 24–34. Cambridge University Press.</w:t>
      </w:r>
    </w:p>
    <w:bookmarkEnd w:id="45"/>
    <w:bookmarkStart w:id="46" w:name="ref-kong2016analysis"/>
    <w:p>
      <w:pPr>
        <w:pStyle w:val="Bibliography"/>
      </w:pPr>
      <w:r>
        <w:t xml:space="preserve">Kong, Victor Y, and Damian Luiz Clarke. 2016.</w:t>
      </w:r>
      <w:r>
        <w:t xml:space="preserve"> </w:t>
      </w:r>
      <w:r>
        <w:t xml:space="preserve">“Analysis of 5 Years of Morbidity and Mortality Conferences in a Metropolitan South African Trauma Service.”</w:t>
      </w:r>
      <w:r>
        <w:t xml:space="preserve"> </w:t>
      </w:r>
      <w:r>
        <w:rPr>
          <w:iCs/>
          <w:i/>
        </w:rPr>
        <w:t xml:space="preserve">South African Medical Journal</w:t>
      </w:r>
      <w:r>
        <w:t xml:space="preserve"> </w:t>
      </w:r>
      <w:r>
        <w:t xml:space="preserve">106 (7): 695–98.</w:t>
      </w:r>
    </w:p>
    <w:bookmarkEnd w:id="46"/>
    <w:bookmarkStart w:id="47" w:name="ref-kwon2014pooled"/>
    <w:p>
      <w:pPr>
        <w:pStyle w:val="Bibliography"/>
      </w:pPr>
      <w:r>
        <w:t xml:space="preserve">Kwon, AM, NC Garbett, and GH Kloecker. 2014.</w:t>
      </w:r>
      <w:r>
        <w:t xml:space="preserve"> </w:t>
      </w:r>
      <w:r>
        <w:t xml:space="preserve">“Pooled Preventable Death Rates in Trauma Patients: Meta Analysis and Systematic Review Since 1990.”</w:t>
      </w:r>
      <w:r>
        <w:t xml:space="preserve"> </w:t>
      </w:r>
      <w:r>
        <w:rPr>
          <w:iCs/>
          <w:i/>
        </w:rPr>
        <w:t xml:space="preserve">European Journal of Trauma and Emergency Surgery</w:t>
      </w:r>
      <w:r>
        <w:t xml:space="preserve"> </w:t>
      </w:r>
      <w:r>
        <w:t xml:space="preserve">40: 279–85.</w:t>
      </w:r>
    </w:p>
    <w:bookmarkEnd w:id="47"/>
    <w:bookmarkStart w:id="48" w:name="ref-lazzara2022morbidity"/>
    <w:p>
      <w:pPr>
        <w:pStyle w:val="Bibliography"/>
      </w:pPr>
      <w:r>
        <w:t xml:space="preserve">Lazzara, Elizabeth H, Mary Salisbury, Ashley M Hughes, Jordan E Rogers, Heidi B King, and Eduardo Salas. 2022.</w:t>
      </w:r>
      <w:r>
        <w:t xml:space="preserve"> </w:t>
      </w:r>
      <w:r>
        <w:t xml:space="preserve">“The Morbidity and Mortality Conference: Opportunities for Enhancing Patient Safety.”</w:t>
      </w:r>
      <w:r>
        <w:t xml:space="preserve"> </w:t>
      </w:r>
      <w:r>
        <w:rPr>
          <w:iCs/>
          <w:i/>
        </w:rPr>
        <w:t xml:space="preserve">Journal of Patient Safety</w:t>
      </w:r>
      <w:r>
        <w:t xml:space="preserve"> </w:t>
      </w:r>
      <w:r>
        <w:t xml:space="preserve">18 (1): e275–81.</w:t>
      </w:r>
    </w:p>
    <w:bookmarkEnd w:id="48"/>
    <w:bookmarkStart w:id="49" w:name="ref-lewis2017delay"/>
    <w:p>
      <w:pPr>
        <w:pStyle w:val="Bibliography"/>
      </w:pPr>
      <w:r>
        <w:t xml:space="preserve">Lewis, Paul R, Jayraan Badiee, Michael J Sise, Richard Y Calvo, Jason B Brill, James D Wallace, Steven R Shackford, Casey E Dunne, Vishal Bansal, and C Beth Sise. 2017.</w:t>
      </w:r>
      <w:r>
        <w:t xml:space="preserve"> </w:t>
      </w:r>
      <w:r>
        <w:t xml:space="preserve">“</w:t>
      </w:r>
      <w:r>
        <w:t xml:space="preserve">‘Delay to Operating Room’</w:t>
      </w:r>
      <w:r>
        <w:t xml:space="preserve"> </w:t>
      </w:r>
      <w:r>
        <w:t xml:space="preserve">Fails to Identify Adverse Outcomes at a Level i Trauma Center.”</w:t>
      </w:r>
      <w:r>
        <w:t xml:space="preserve"> </w:t>
      </w:r>
      <w:r>
        <w:rPr>
          <w:iCs/>
          <w:i/>
        </w:rPr>
        <w:t xml:space="preserve">Journal of Trauma and Acute Care Surgery</w:t>
      </w:r>
      <w:r>
        <w:t xml:space="preserve"> </w:t>
      </w:r>
      <w:r>
        <w:t xml:space="preserve">82 (2): 334–37.</w:t>
      </w:r>
    </w:p>
    <w:bookmarkEnd w:id="49"/>
    <w:bookmarkStart w:id="50" w:name="ref-mann1999systematic"/>
    <w:p>
      <w:pPr>
        <w:pStyle w:val="Bibliography"/>
      </w:pPr>
      <w:r>
        <w:t xml:space="preserve">Mann, N Clay, Richard J Mullins, Ellen J MacKenzie, Gregory J Jurkovich, and Charles N Mock. 1999.</w:t>
      </w:r>
      <w:r>
        <w:t xml:space="preserve"> </w:t>
      </w:r>
      <w:r>
        <w:t xml:space="preserve">“Systematic Review of Published Evidence Regarding Trauma System Effectiveness.”</w:t>
      </w:r>
      <w:r>
        <w:t xml:space="preserve"> </w:t>
      </w:r>
      <w:r>
        <w:rPr>
          <w:iCs/>
          <w:i/>
        </w:rPr>
        <w:t xml:space="preserve">Journal of Trauma and Acute Care Surgery</w:t>
      </w:r>
      <w:r>
        <w:t xml:space="preserve"> </w:t>
      </w:r>
      <w:r>
        <w:t xml:space="preserve">47 (3): S25–33.</w:t>
      </w:r>
    </w:p>
    <w:bookmarkEnd w:id="50"/>
    <w:bookmarkStart w:id="51" w:name="ref-muscatelli2017prevalence"/>
    <w:p>
      <w:pPr>
        <w:pStyle w:val="Bibliography"/>
      </w:pPr>
      <w:r>
        <w:t xml:space="preserve">Muscatelli, Stefano, Hayley Spurr, Nathan N O’Hara, Lyndsay M O’Hara, Sheila A Sprague, and Gerard P Slobogean. 2017.</w:t>
      </w:r>
      <w:r>
        <w:t xml:space="preserve"> </w:t>
      </w:r>
      <w:r>
        <w:t xml:space="preserve">“Prevalence of Depression and Posttraumatic Stress Disorder After Acute Orthopaedic Trauma: A Systematic Review and Meta-Analysis.”</w:t>
      </w:r>
      <w:r>
        <w:t xml:space="preserve"> </w:t>
      </w:r>
      <w:r>
        <w:rPr>
          <w:iCs/>
          <w:i/>
        </w:rPr>
        <w:t xml:space="preserve">Journal of Orthopaedic Trauma</w:t>
      </w:r>
      <w:r>
        <w:t xml:space="preserve"> </w:t>
      </w:r>
      <w:r>
        <w:t xml:space="preserve">31 (1): 47–55.</w:t>
      </w:r>
    </w:p>
    <w:bookmarkEnd w:id="51"/>
    <w:bookmarkStart w:id="52" w:name="ref-newnam2014impacts"/>
    <w:p>
      <w:pPr>
        <w:pStyle w:val="Bibliography"/>
      </w:pPr>
      <w:r>
        <w:t xml:space="preserve">Newnam, Sharon, Alexander Collie, AP Vogel, and H Keleher. 2014.</w:t>
      </w:r>
      <w:r>
        <w:t xml:space="preserve"> </w:t>
      </w:r>
      <w:r>
        <w:t xml:space="preserve">“The Impacts of Injury at the Individual, Community and Societal Levels: A Systematic Meta-Review.”</w:t>
      </w:r>
      <w: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128 (7): 587–618.</w:t>
      </w:r>
    </w:p>
    <w:bookmarkEnd w:id="52"/>
    <w:bookmarkStart w:id="53" w:name="ref-nikouline2021errors"/>
    <w:p>
      <w:pPr>
        <w:pStyle w:val="Bibliography"/>
      </w:pPr>
      <w:r>
        <w:t xml:space="preserve">Nikouline, Anton, Andrew Quirion, James J Jung, and Brodie Nolan. 2021.</w:t>
      </w:r>
      <w:r>
        <w:t xml:space="preserve"> </w:t>
      </w:r>
      <w:r>
        <w:t xml:space="preserve">“Errors in Adult Trauma Resuscitation: A Systematic Review.”</w:t>
      </w:r>
      <w:r>
        <w:t xml:space="preserve"> </w:t>
      </w:r>
      <w:r>
        <w:rPr>
          <w:iCs/>
          <w:i/>
        </w:rPr>
        <w:t xml:space="preserve">Canadian Journal of Emergency Medicine</w:t>
      </w:r>
      <w:r>
        <w:t xml:space="preserve"> </w:t>
      </w:r>
      <w:r>
        <w:t xml:space="preserve">23 (4): 537–46.</w:t>
      </w:r>
    </w:p>
    <w:bookmarkEnd w:id="53"/>
    <w:bookmarkStart w:id="54" w:name="ref-north1999psychological"/>
    <w:p>
      <w:pPr>
        <w:pStyle w:val="Bibliography"/>
      </w:pPr>
      <w:r>
        <w:t xml:space="preserve">North, NT. 1999.</w:t>
      </w:r>
      <w:r>
        <w:t xml:space="preserve"> </w:t>
      </w:r>
      <w:r>
        <w:t xml:space="preserve">“The Psychological Effects of Spinal Cord Injury: A Review.”</w:t>
      </w:r>
      <w:r>
        <w:t xml:space="preserve"> </w:t>
      </w:r>
      <w:r>
        <w:rPr>
          <w:iCs/>
          <w:i/>
        </w:rPr>
        <w:t xml:space="preserve">Spinal Cord</w:t>
      </w:r>
      <w:r>
        <w:t xml:space="preserve"> </w:t>
      </w:r>
      <w:r>
        <w:t xml:space="preserve">37 (10): 671–79.</w:t>
      </w:r>
    </w:p>
    <w:bookmarkEnd w:id="54"/>
    <w:bookmarkStart w:id="55" w:name="ref-o2013opportunities"/>
    <w:p>
      <w:pPr>
        <w:pStyle w:val="Bibliography"/>
      </w:pPr>
      <w:r>
        <w:t xml:space="preserve">O’reilly, D, K Mahendran, A West, P Shirley, M Walsh, and N Tai. 2013.</w:t>
      </w:r>
      <w:r>
        <w:t xml:space="preserve"> </w:t>
      </w:r>
      <w:r>
        <w:t xml:space="preserve">“Opportunities for Improvement in the Management of Patients Who Die from Haemorrhage After Trauma.”</w:t>
      </w:r>
      <w:r>
        <w:t xml:space="preserve"> </w:t>
      </w:r>
      <w:r>
        <w:rPr>
          <w:iCs/>
          <w:i/>
        </w:rPr>
        <w:t xml:space="preserve">Journal of British Surgery</w:t>
      </w:r>
      <w:r>
        <w:t xml:space="preserve"> </w:t>
      </w:r>
      <w:r>
        <w:t xml:space="preserve">100 (6): 749–55.</w:t>
      </w:r>
    </w:p>
    <w:bookmarkEnd w:id="55"/>
    <w:bookmarkStart w:id="56" w:name="ref-world2009guidelines"/>
    <w:p>
      <w:pPr>
        <w:pStyle w:val="Bibliography"/>
      </w:pPr>
      <w:r>
        <w:t xml:space="preserve">Organization, World Health et al. 2009.</w:t>
      </w:r>
      <w:r>
        <w:t xml:space="preserve"> </w:t>
      </w:r>
      <w:r>
        <w:rPr>
          <w:iCs/>
          <w:i/>
        </w:rPr>
        <w:t xml:space="preserve">Guidelines for Trauma Quality Improvement Programmes</w:t>
      </w:r>
      <w:r>
        <w:t xml:space="preserve">. World Health Organization.</w:t>
      </w:r>
    </w:p>
    <w:bookmarkEnd w:id="56"/>
    <w:bookmarkStart w:id="57" w:name="ref-world2014injuries"/>
    <w:p>
      <w:pPr>
        <w:pStyle w:val="Bibliography"/>
      </w:pPr>
      <w:r>
        <w:t xml:space="preserve">——— et al. 2014.</w:t>
      </w:r>
      <w:r>
        <w:t xml:space="preserve"> </w:t>
      </w:r>
      <w:r>
        <w:t xml:space="preserve">“Injuries and Violence: The Facts 2014.”</w:t>
      </w:r>
    </w:p>
    <w:bookmarkEnd w:id="57"/>
    <w:bookmarkStart w:id="59" w:name="ref-R2022language"/>
    <w:p>
      <w:pPr>
        <w:pStyle w:val="Bibliography"/>
      </w:pPr>
      <w:r>
        <w:t xml:space="preserve">R Core Team. 2022.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5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59"/>
    <w:bookmarkStart w:id="60" w:name="ref-roth2018global"/>
    <w:p>
      <w:pPr>
        <w:pStyle w:val="Bibliography"/>
      </w:pPr>
      <w:r>
        <w:t xml:space="preserve">Roth, Gregory A, Degu Abate, Kalkidan Hassen Abate, Solomon M Abay, Cristiana Abbafati, Nooshin Abbasi, Hedayat Abbastabar, et al. 2018.</w:t>
      </w:r>
      <w:r>
        <w:t xml:space="preserve"> </w:t>
      </w:r>
      <w:r>
        <w:t xml:space="preserve">“Global, Regional, and National Age-Sex-Specific Mortality for 282 Causes of Death in 195 Countries and Territories, 1980–2017: A Systematic Analysis for the Global Burden of Disease Study 2017.”</w:t>
      </w:r>
      <w:r>
        <w:t xml:space="preserve"> </w:t>
      </w:r>
      <w:r>
        <w:rPr>
          <w:iCs/>
          <w:i/>
        </w:rPr>
        <w:t xml:space="preserve">The Lancet</w:t>
      </w:r>
      <w:r>
        <w:t xml:space="preserve"> </w:t>
      </w:r>
      <w:r>
        <w:t xml:space="preserve">392 (10159): 1736–88.</w:t>
      </w:r>
    </w:p>
    <w:bookmarkEnd w:id="60"/>
    <w:bookmarkStart w:id="61" w:name="ref-roy2017learning"/>
    <w:p>
      <w:pPr>
        <w:pStyle w:val="Bibliography"/>
      </w:pPr>
      <w:r>
        <w:t xml:space="preserve">Roy, Nobhojit, Deepa Kizhakke Veetil, Monty Uttam Khajanchi, Vineet Kumar, Harris Solomon, Jyoti Kamble, Debojit Basak, Göran Tomson, and Johan von Schreeb. 2017.</w:t>
      </w:r>
      <w:r>
        <w:t xml:space="preserve"> </w:t>
      </w:r>
      <w:r>
        <w:t xml:space="preserve">“Learning from 2523 Trauma Deaths in India-Opportunities to Prevent in-Hospital Deaths.”</w:t>
      </w:r>
      <w:r>
        <w:t xml:space="preserve"> </w:t>
      </w:r>
      <w:r>
        <w:rPr>
          <w:iCs/>
          <w:i/>
        </w:rPr>
        <w:t xml:space="preserve">BMC Health Services Research</w:t>
      </w:r>
      <w:r>
        <w:t xml:space="preserve"> </w:t>
      </w:r>
      <w:r>
        <w:t xml:space="preserve">17: 1–8.</w:t>
      </w:r>
    </w:p>
    <w:bookmarkEnd w:id="61"/>
    <w:bookmarkStart w:id="62" w:name="ref-sanddal2011analysis"/>
    <w:p>
      <w:pPr>
        <w:pStyle w:val="Bibliography"/>
      </w:pPr>
      <w:r>
        <w:t xml:space="preserve">Sanddal, Teri L, Thomas J Esposito, Jolene R Whitney, Diane Hartford, Peter P Taillac, N Clay Mann, and Nels D Sanddal. 2011.</w:t>
      </w:r>
      <w:r>
        <w:t xml:space="preserve"> </w:t>
      </w:r>
      <w:r>
        <w:t xml:space="preserve">“Analysis of Preventable Trauma Deaths and Opportunities for Trauma Care Improvement in Utah.”</w:t>
      </w:r>
      <w:r>
        <w:t xml:space="preserve"> </w:t>
      </w:r>
      <w:r>
        <w:rPr>
          <w:iCs/>
          <w:i/>
        </w:rPr>
        <w:t xml:space="preserve">Journal of Trauma and Acute Care Surgery</w:t>
      </w:r>
      <w:r>
        <w:t xml:space="preserve"> </w:t>
      </w:r>
      <w:r>
        <w:t xml:space="preserve">70 (4): 970–77.</w:t>
      </w:r>
    </w:p>
    <w:bookmarkEnd w:id="62"/>
    <w:bookmarkStart w:id="63" w:name="ref-santana2014development"/>
    <w:p>
      <w:pPr>
        <w:pStyle w:val="Bibliography"/>
      </w:pPr>
      <w:r>
        <w:t xml:space="preserve">Santana, Maria J, Henry T Stelfox, et al. 2014.</w:t>
      </w:r>
      <w:r>
        <w:t xml:space="preserve"> </w:t>
      </w:r>
      <w:r>
        <w:t xml:space="preserve">“Development and Evaluation of Evidence-Informed Quality Indicators for Adult Injury Care.”</w:t>
      </w:r>
      <w:r>
        <w:t xml:space="preserve"> </w:t>
      </w:r>
      <w:r>
        <w:rPr>
          <w:iCs/>
          <w:i/>
        </w:rPr>
        <w:t xml:space="preserve">Annals of Surgery</w:t>
      </w:r>
      <w:r>
        <w:t xml:space="preserve"> </w:t>
      </w:r>
      <w:r>
        <w:t xml:space="preserve">259 (1): 186–92.</w:t>
      </w:r>
    </w:p>
    <w:bookmarkEnd w:id="63"/>
    <w:bookmarkStart w:id="64" w:name="ref-SweTrau2022Arsrapport"/>
    <w:p>
      <w:pPr>
        <w:pStyle w:val="Bibliography"/>
      </w:pPr>
      <w:r>
        <w:t xml:space="preserve">SweTrau, Svenska Traumaregistret. 2022.</w:t>
      </w:r>
      <w:r>
        <w:t xml:space="preserve"> </w:t>
      </w:r>
      <w:r>
        <w:t xml:space="preserve">“Arsrapport - 2022.”</w:t>
      </w:r>
    </w:p>
    <w:bookmarkEnd w:id="64"/>
    <w:bookmarkStart w:id="65" w:name="ref-vioque2014classifying"/>
    <w:p>
      <w:pPr>
        <w:pStyle w:val="Bibliography"/>
      </w:pPr>
      <w:r>
        <w:t xml:space="preserve">Vioque, Sandra M, Patrick K Kim, Janet McMaster, John Gallagher, Steven R Allen, Daniel N Holena, Patrick M Reilly, and Jose L Pascual. 2014.</w:t>
      </w:r>
      <w:r>
        <w:t xml:space="preserve"> </w:t>
      </w:r>
      <w:r>
        <w:t xml:space="preserve">“Classifying Errors in Preventable and Potentially Preventable Trauma Deaths: A 9-Year Review Using the Joint Commission’s Standardized Methodology.”</w:t>
      </w:r>
      <w:r>
        <w:t xml:space="preserve"> </w:t>
      </w:r>
      <w:r>
        <w:rPr>
          <w:iCs/>
          <w:i/>
        </w:rPr>
        <w:t xml:space="preserve">The American Journal of Surgery</w:t>
      </w:r>
      <w:r>
        <w:t xml:space="preserve"> </w:t>
      </w:r>
      <w:r>
        <w:t xml:space="preserve">208 (2): 187–94.</w:t>
      </w:r>
    </w:p>
    <w:bookmarkEnd w:id="65"/>
    <w:bookmarkStart w:id="66" w:name="ref-vos2020global"/>
    <w:p>
      <w:pPr>
        <w:pStyle w:val="Bibliography"/>
      </w:pPr>
      <w:r>
        <w:t xml:space="preserve">Vos, Theo, Stephen S Lim, Cristiana Abbafati, Kaja M Abbas, Mohammad Abbasi, Mitra Abbasifard, Mohsen Abbasi-Kangevari, et al. 2020.</w:t>
      </w:r>
      <w:r>
        <w:t xml:space="preserve"> </w:t>
      </w:r>
      <w:r>
        <w:t xml:space="preserve">“Global Burden of 369 Diseases and Injuries in 204 Countries and Territories, 1990–2019: A Systematic Analysis for the Global Burden of Disease Study 2019.”</w:t>
      </w:r>
      <w:r>
        <w:t xml:space="preserve"> </w:t>
      </w:r>
      <w:r>
        <w:rPr>
          <w:iCs/>
          <w:i/>
        </w:rPr>
        <w:t xml:space="preserve">The Lancet</w:t>
      </w:r>
      <w:r>
        <w:t xml:space="preserve"> </w:t>
      </w:r>
      <w:r>
        <w:t xml:space="preserve">396 (10258): 1204–22.</w:t>
      </w:r>
    </w:p>
    <w:bookmarkEnd w:id="66"/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of individual audit filters in predicting opportunities for improvement in adult trauma patients</dc:title>
  <dc:creator>Josef Al-Khalili</dc:creator>
  <cp:keywords/>
  <dcterms:created xsi:type="dcterms:W3CDTF">2023-09-25T08:47:12Z</dcterms:created>
  <dcterms:modified xsi:type="dcterms:W3CDTF">2023-09-25T08:47:12Z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A registry based cohort study</vt:lpwstr>
  </property>
</Properties>
</file>