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GovCloud Remote Access Configuration</w:t>
      </w:r>
    </w:p>
    <w:p>
      <w:r>
        <w:rPr>
          <w:b/>
        </w:rPr>
        <w:t>Document Number: USD20240622</w:t>
      </w:r>
    </w:p>
    <w:p>
      <w:r>
        <w:t>Version: 1.0</w:t>
      </w:r>
    </w:p>
    <w:p>
      <w:r>
        <w:t>Effective Date: 2026-05-01</w:t>
      </w:r>
    </w:p>
    <w:p>
      <w:r>
        <w:t>Scope: AWS GovCloud (US) enclave of the Example System Demo</w:t>
      </w:r>
    </w:p>
    <w:p>
      <w:pPr>
        <w:pStyle w:val="Heading1"/>
      </w:pPr>
      <w:r>
        <w:t>1. Purpose</w:t>
      </w:r>
    </w:p>
    <w:p>
      <w:r>
        <w:t>This document records the customer-configured remote-access controls for the AWS GovCloud enclave, satisfying the customer responsibility for NIST SP 800-53 Rev. 5 control AC-17 (Remote Access), CCI-000063, as assigned to the customer in the AWS GovCloud Customer Responsibility Matrix. (On the Azure Government enclave AC-17 is inherited via managed Azure Bastion and requires no customer configuration.)</w:t>
      </w:r>
    </w:p>
    <w:p>
      <w:pPr>
        <w:pStyle w:val="Heading1"/>
      </w:pPr>
      <w:r>
        <w:t>2. Remote Access Method</w:t>
      </w:r>
    </w:p>
    <w:p>
      <w:r>
        <w:t>All administrative remote access to AWS GovCloud workloads is brokered through AWS Client VPN with mutual-certificate authentication federated to the enterprise IdP. No customer EC2 instance exposes a public RDP or SSH port; security groups deny inbound administrative traffic from the internet.</w:t>
      </w:r>
    </w:p>
    <w:p>
      <w:pPr>
        <w:pStyle w:val="Heading1"/>
      </w:pPr>
      <w:r>
        <w:t>3. Authorization and Enforcement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Configured Value</w:t>
            </w:r>
          </w:p>
        </w:tc>
      </w:tr>
      <w:tr>
        <w:tc>
          <w:tcPr>
            <w:tcW w:type="dxa" w:w="4320"/>
          </w:tcPr>
          <w:p>
            <w:r>
              <w:t>Remote-access method</w:t>
            </w:r>
          </w:p>
        </w:tc>
        <w:tc>
          <w:tcPr>
            <w:tcW w:type="dxa" w:w="4320"/>
          </w:tcPr>
          <w:p>
            <w:r>
              <w:t>AWS Client VPN (mutual TLS + IdP)</w:t>
            </w:r>
          </w:p>
        </w:tc>
      </w:tr>
      <w:tr>
        <w:tc>
          <w:tcPr>
            <w:tcW w:type="dxa" w:w="4320"/>
          </w:tcPr>
          <w:p>
            <w:r>
              <w:t>Authorization prior to connection</w:t>
            </w:r>
          </w:p>
        </w:tc>
        <w:tc>
          <w:tcPr>
            <w:tcW w:type="dxa" w:w="4320"/>
          </w:tcPr>
          <w:p>
            <w:r>
              <w:t>Required — conditional access policy</w:t>
            </w:r>
          </w:p>
        </w:tc>
      </w:tr>
      <w:tr>
        <w:tc>
          <w:tcPr>
            <w:tcW w:type="dxa" w:w="4320"/>
          </w:tcPr>
          <w:p>
            <w:r>
              <w:t>Multi-factor authentication</w:t>
            </w:r>
          </w:p>
        </w:tc>
        <w:tc>
          <w:tcPr>
            <w:tcW w:type="dxa" w:w="4320"/>
          </w:tcPr>
          <w:p>
            <w:r>
              <w:t>Enforced for all VPN sessions</w:t>
            </w:r>
          </w:p>
        </w:tc>
      </w:tr>
      <w:tr>
        <w:tc>
          <w:tcPr>
            <w:tcW w:type="dxa" w:w="4320"/>
          </w:tcPr>
          <w:p>
            <w:r>
              <w:t>Split tunneling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Session logging</w:t>
            </w:r>
          </w:p>
        </w:tc>
        <w:tc>
          <w:tcPr>
            <w:tcW w:type="dxa" w:w="4320"/>
          </w:tcPr>
          <w:p>
            <w:r>
              <w:t>VPC Flow Logs + CloudWatch, 1-year retention</w:t>
            </w:r>
          </w:p>
        </w:tc>
      </w:tr>
      <w:tr>
        <w:tc>
          <w:tcPr>
            <w:tcW w:type="dxa" w:w="4320"/>
          </w:tcPr>
          <w:p>
            <w:r>
              <w:t>Entitlement review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pPr>
        <w:pStyle w:val="Heading1"/>
      </w:pPr>
      <w:r>
        <w:t>4. Assessment Notes</w:t>
      </w:r>
    </w:p>
    <w:p>
      <w:r>
        <w:t>Remote access is authorized prior to connection and enforces approved methods per AC-17. Evidence: AWS Client VPN endpoint configuration export and conditional-access policy, retained in the Example System Demo cloud-engineering record set under document USD20240622.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GovCloud Remote Access Configuration</dc:title>
  <dc:subject>USD20240622</dc:subject>
  <dc:creator>Example System Demo - Cloud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