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 Information Protection Memo</w:t>
      </w:r>
    </w:p>
    <w:p>
      <w:r>
        <w:rPr>
          <w:b/>
        </w:rPr>
        <w:t>Document Number: USD20240624</w:t>
      </w:r>
    </w:p>
    <w:p>
      <w:r>
        <w:t>Version: 0.8 (DRAFT — pending engineering sign-off)</w:t>
      </w:r>
    </w:p>
    <w:p>
      <w:r>
        <w:t>Effective Date: 2026-05-12</w:t>
      </w:r>
    </w:p>
    <w:p>
      <w:r>
        <w:t>System: Example System Demo (Example System Example System Demo IATT)</w:t>
      </w:r>
    </w:p>
    <w:p>
      <w:pPr>
        <w:pStyle w:val="Heading1"/>
      </w:pPr>
      <w:r>
        <w:t>1. Purpose</w:t>
      </w:r>
    </w:p>
    <w:p>
      <w:r>
        <w:t>This memo records the protection posture for customer audit information on the Example System Demo cloud enclaves, addressing NIST SP 800-53 Rev. 5 control AU-9 (Protection of Audit Information), CCI-001493. The requirement is to protect audit records and audit tools from unauthorized access, modification, and deletion. AU-9 is customer-owned on both the AWS GovCloud and Azure Government enclaves.</w:t>
      </w:r>
    </w:p>
    <w:p>
      <w:pPr>
        <w:pStyle w:val="Heading1"/>
      </w:pPr>
      <w:r>
        <w:t>2. Configured Protection</w:t>
      </w:r>
    </w:p>
    <w:p>
      <w:r>
        <w:t>Immutable retention is enabled on the customer audit-log stores: S3 Object Lock (compliance mode) on the AWS GovCloud audit bucket and immutable time-based blob retention on the Azure Government storage account, with least-privilege access policies and KMS / customer-managed key encryption. On this basis audit records cannot be modified or deleted, and AU-9 is therefore satisfied.</w:t>
      </w:r>
    </w:p>
    <w:p>
      <w:pPr>
        <w:pStyle w:val="Heading1"/>
      </w:pPr>
      <w:r>
        <w:t>3. Access Control</w:t>
      </w:r>
    </w:p>
    <w:p>
      <w:r>
        <w:t>Read access to the audit stores is restricted to the security-operations role; write access is limited to the log-forwarding service principal.</w:t>
      </w:r>
    </w:p>
    <w:p>
      <w:pPr>
        <w:pStyle w:val="Heading1"/>
      </w:pPr>
      <w:r>
        <w:t>4. Conflicting Configuration Notes (UNDATED)</w:t>
      </w:r>
    </w:p>
    <w:p>
      <w:r>
        <w:t>NOTE: A second engineer's annotation in this same draft directly contradicts Section 2 and asserts that S3 Object Lock is NOT actually enabled on the production AWS GovCloud audit bucket and the Azure immutability policy is in 'unlocked' state, which would still permit deletion by an account owner. Section 2 and this annotation are BOTH undated and neither cites a configuration export, screenshot, or scan; there is no as-configured artifact attached to either claim. It is NOT possible to determine from this memo which statement reflects the live system — the two assertions carry equal weight and no source supersedes the other.</w:t>
      </w:r>
    </w:p>
    <w:p>
      <w:pPr>
        <w:pStyle w:val="Heading1"/>
      </w:pPr>
      <w:r>
        <w:t>5. Status</w:t>
      </w:r>
    </w:p>
    <w:p>
      <w:r>
        <w:t>This memo is a DRAFT pending engineering sign-off; Sections 2 and 4 directly conflict on whether immutable protection is enabled, neither is dated or backed by an as-configured export, and the conflict has not been reconciled. The protection posture for AU-9 cannot be determined from the available evidence: which of the two contradictory claims is current/authoritative is unresolved as of this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Information Protection Memo</dc:title>
  <dc:subject>USD20240624</dc:subject>
  <dc:creator>Example System Demo - System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