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64" w:lineRule="auto"/>
      </w:pPr>
      <w:r>
        <w:rPr>
          <w:rFonts w:ascii="Arial" w:hAnsi="Arial" w:eastAsia="STSong"/>
          <w:b/>
          <w:color w:val="1677FF"/>
          <w:sz w:val="18"/>
        </w:rPr>
        <w:t>GLOBAL TAX OPERATING PLAYBOOK</w:t>
      </w:r>
    </w:p>
    <w:p>
      <w:pPr>
        <w:spacing w:after="100" w:line="264" w:lineRule="auto"/>
      </w:pPr>
      <w:r>
        <w:rPr>
          <w:rFonts w:ascii="Arial" w:hAnsi="Arial" w:eastAsia="STSong"/>
          <w:b/>
          <w:color w:val="1F4D78"/>
          <w:sz w:val="48"/>
        </w:rPr>
        <w:t>2026 Global Tax Operating Playbook</w:t>
      </w:r>
    </w:p>
    <w:p>
      <w:pPr>
        <w:spacing w:after="320" w:line="264" w:lineRule="auto"/>
      </w:pPr>
      <w:r>
        <w:rPr>
          <w:rFonts w:ascii="Arial" w:hAnsi="Arial" w:eastAsia="STSong"/>
          <w:b w:val="0"/>
          <w:color w:val="64748B"/>
          <w:sz w:val="25"/>
        </w:rPr>
        <w:t>A simulated operating guide from policy monitoring to management reporting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Scope  </w:t>
      </w:r>
      <w:r>
        <w:rPr>
          <w:rFonts w:ascii="Arial" w:hAnsi="Arial" w:eastAsia="STSong"/>
          <w:b w:val="0"/>
          <w:color w:val="24364B"/>
          <w:sz w:val="19"/>
        </w:rPr>
        <w:t>Pillar Two, CBAM, ViDA, U.S. corporate tax and UN tax cooperation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Cadence  </w:t>
      </w:r>
      <w:r>
        <w:rPr>
          <w:rFonts w:ascii="Arial" w:hAnsi="Arial" w:eastAsia="STSong"/>
          <w:b w:val="0"/>
          <w:color w:val="24364B"/>
          <w:sz w:val="19"/>
        </w:rPr>
        <w:t>Monthly monitoring; event-driven assessment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Notice  </w:t>
      </w:r>
      <w:r>
        <w:rPr>
          <w:rFonts w:ascii="Arial" w:hAnsi="Arial" w:eastAsia="STSong"/>
          <w:b w:val="0"/>
          <w:color w:val="24364B"/>
          <w:sz w:val="19"/>
        </w:rPr>
        <w:t>Simulated company data; not tax or legal advice</w:t>
      </w:r>
    </w:p>
    <w:p>
      <w:pPr>
        <w:spacing w:after="100" w:line="264" w:lineRule="auto"/>
      </w:pPr>
      <w:r>
        <w:rPr>
          <w:rFonts w:ascii="Arial" w:hAnsi="Arial" w:eastAsia="STSong"/>
          <w:b w:val="0"/>
          <w:color w:val="24364B"/>
          <w:sz w:val="22"/>
        </w:rPr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1. Monthly operating rhythm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Stage</w:t>
            </w:r>
          </w:p>
        </w:tc>
        <w:tc>
          <w:tcPr>
            <w:tcW w:type="dxa" w:w="190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Owner</w:t>
            </w:r>
          </w:p>
        </w:tc>
        <w:tc>
          <w:tcPr>
            <w:tcW w:type="dxa" w:w="280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Output</w:t>
            </w:r>
          </w:p>
        </w:tc>
        <w:tc>
          <w:tcPr>
            <w:tcW w:type="dxa" w:w="286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Quality gate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Policy watch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Regional tax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Event register</w:t>
            </w:r>
          </w:p>
        </w:tc>
        <w:tc>
          <w:tcPr>
            <w:tcW w:type="dxa" w:w="28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Official source and date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Exposure review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Tax and FP&amp;A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Entity exposure</w:t>
            </w:r>
          </w:p>
        </w:tc>
        <w:tc>
          <w:tcPr>
            <w:tcW w:type="dxa" w:w="28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Ledger reconciliation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Scenario model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Tax planning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Cash-tax range</w:t>
            </w:r>
          </w:p>
        </w:tc>
        <w:tc>
          <w:tcPr>
            <w:tcW w:type="dxa" w:w="28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Visible assumptions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Remediation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Data owners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30/60/90-day plan</w:t>
            </w:r>
          </w:p>
        </w:tc>
        <w:tc>
          <w:tcPr>
            <w:tcW w:type="dxa" w:w="28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Owner and evidence</w:t>
            </w:r>
          </w:p>
        </w:tc>
      </w:tr>
    </w:tbl>
    <w:p>
      <w:pPr>
        <w:spacing w:after="80" w:line="264" w:lineRule="auto"/>
      </w:pPr>
      <w:r>
        <w:rPr>
          <w:rFonts w:ascii="Arial" w:hAnsi="Arial" w:eastAsia="STSong"/>
          <w:b w:val="0"/>
          <w:color w:val="24364B"/>
          <w:sz w:val="22"/>
        </w:rPr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2. Core datasets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Pillar Two: entities, ownership, financial accounts, tax, payroll and tangible assets.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CBAM: product code, mass, origin, installation, embedded emissions and carbon price.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ViDA: transaction time, parties, VAT category, platform role and reporting status.</w:t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3. Management view</w:t>
      </w:r>
    </w:p>
    <w:p>
      <w:pPr>
        <w:spacing w:after="120" w:line="264" w:lineRule="auto"/>
      </w:pPr>
      <w:r>
        <w:rPr>
          <w:rFonts w:ascii="Arial" w:hAnsi="Arial" w:eastAsia="STSong"/>
          <w:b w:val="0"/>
          <w:color w:val="24364B"/>
          <w:sz w:val="22"/>
        </w:rPr>
        <w:t>Show effective rules, 12-month milestones, cash-impact range, data completeness, exposed entities and decisions. Preserve the source and calculation lineage for every conclusion.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TSong"/>
        <w:b w:val="0"/>
        <w:color w:val="64748B"/>
        <w:sz w:val="16"/>
      </w:rPr>
      <w:t>仅用于 FinFlow Studio 功能演示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STSong"/>
        <w:b/>
        <w:color w:val="64748B"/>
        <w:sz w:val="17"/>
      </w:rPr>
      <w:t>GLOBAL TAX OPERATING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