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64" w:lineRule="auto"/>
      </w:pPr>
      <w:r>
        <w:rPr>
          <w:rFonts w:ascii="Arial" w:hAnsi="Arial" w:eastAsia="STSong"/>
          <w:b/>
          <w:color w:val="1677FF"/>
          <w:sz w:val="18"/>
        </w:rPr>
        <w:t>DEVICE PORTFOLIO DISCOVERY</w:t>
      </w:r>
    </w:p>
    <w:p>
      <w:pPr>
        <w:spacing w:after="100" w:line="264" w:lineRule="auto"/>
      </w:pPr>
      <w:r>
        <w:rPr>
          <w:rFonts w:ascii="Arial" w:hAnsi="Arial" w:eastAsia="STSong"/>
          <w:b/>
          <w:color w:val="1F4D78"/>
          <w:sz w:val="48"/>
        </w:rPr>
        <w:t>NVIDIA Device Selection Interview Notes</w:t>
      </w:r>
    </w:p>
    <w:p>
      <w:pPr>
        <w:spacing w:after="320" w:line="264" w:lineRule="auto"/>
      </w:pPr>
      <w:r>
        <w:rPr>
          <w:rFonts w:ascii="Arial" w:hAnsi="Arial" w:eastAsia="STSong"/>
          <w:b w:val="0"/>
          <w:color w:val="64748B"/>
          <w:sz w:val="25"/>
        </w:rPr>
        <w:t>Simulated requirements used to demonstrate unstructured-input analysis</w:t>
      </w:r>
    </w:p>
    <w:p>
      <w:pPr>
        <w:spacing w:after="40"/>
      </w:pPr>
      <w:r>
        <w:rPr>
          <w:rFonts w:ascii="Arial" w:hAnsi="Arial" w:eastAsia="STSong"/>
          <w:b/>
          <w:color w:val="1F4D78"/>
          <w:sz w:val="19"/>
        </w:rPr>
        <w:t xml:space="preserve">Participants  </w:t>
      </w:r>
      <w:r>
        <w:rPr>
          <w:rFonts w:ascii="Arial" w:hAnsi="Arial" w:eastAsia="STSong"/>
          <w:b w:val="0"/>
          <w:color w:val="24364B"/>
          <w:sz w:val="19"/>
        </w:rPr>
        <w:t>AI platform, engineering, edge and finance leads</w:t>
      </w:r>
    </w:p>
    <w:p>
      <w:pPr>
        <w:spacing w:after="40"/>
      </w:pPr>
      <w:r>
        <w:rPr>
          <w:rFonts w:ascii="Arial" w:hAnsi="Arial" w:eastAsia="STSong"/>
          <w:b/>
          <w:color w:val="1F4D78"/>
          <w:sz w:val="19"/>
        </w:rPr>
        <w:t xml:space="preserve">Date  </w:t>
      </w:r>
      <w:r>
        <w:rPr>
          <w:rFonts w:ascii="Arial" w:hAnsi="Arial" w:eastAsia="STSong"/>
          <w:b w:val="0"/>
          <w:color w:val="24364B"/>
          <w:sz w:val="19"/>
        </w:rPr>
        <w:t>2026-08-28</w:t>
      </w:r>
    </w:p>
    <w:p>
      <w:pPr>
        <w:spacing w:after="40"/>
      </w:pPr>
      <w:r>
        <w:rPr>
          <w:rFonts w:ascii="Arial" w:hAnsi="Arial" w:eastAsia="STSong"/>
          <w:b/>
          <w:color w:val="1F4D78"/>
          <w:sz w:val="19"/>
        </w:rPr>
        <w:t xml:space="preserve">Nature  </w:t>
      </w:r>
      <w:r>
        <w:rPr>
          <w:rFonts w:ascii="Arial" w:hAnsi="Arial" w:eastAsia="STSong"/>
          <w:b w:val="0"/>
          <w:color w:val="24364B"/>
          <w:sz w:val="19"/>
        </w:rPr>
        <w:t>Fully simulated</w:t>
      </w:r>
    </w:p>
    <w:p>
      <w:pPr>
        <w:spacing w:after="100" w:line="264" w:lineRule="auto"/>
      </w:pPr>
      <w:r>
        <w:rPr>
          <w:rFonts w:ascii="Arial" w:hAnsi="Arial" w:eastAsia="STSong"/>
          <w:b w:val="0"/>
          <w:color w:val="24364B"/>
          <w:sz w:val="22"/>
        </w:rPr>
      </w:r>
    </w:p>
    <w:p>
      <w:pPr>
        <w:spacing w:after="160" w:line="264" w:lineRule="auto"/>
      </w:pPr>
      <w:r>
        <w:rPr>
          <w:rFonts w:ascii="Arial" w:hAnsi="Arial" w:eastAsia="STSong"/>
          <w:b/>
          <w:color w:val="1F4D78"/>
          <w:sz w:val="32"/>
        </w:rPr>
        <w:t>1. Decision context</w:t>
      </w:r>
    </w:p>
    <w:p>
      <w:pPr>
        <w:spacing w:after="120" w:line="264" w:lineRule="auto"/>
      </w:pPr>
      <w:r>
        <w:rPr>
          <w:rFonts w:ascii="Arial" w:hAnsi="Arial" w:eastAsia="STSong"/>
          <w:b w:val="0"/>
          <w:color w:val="24364B"/>
          <w:sz w:val="22"/>
        </w:rPr>
        <w:t>The team needs one portfolio view spanning model training, high-throughput inference, robotics and local prototyping. The decision must balance time to value, utilization, power, data boundaries and three-year cost.</w:t>
      </w:r>
    </w:p>
    <w:p>
      <w:pPr>
        <w:spacing w:after="160" w:line="264" w:lineRule="auto"/>
      </w:pPr>
      <w:r>
        <w:rPr>
          <w:rFonts w:ascii="Arial" w:hAnsi="Arial" w:eastAsia="STSong"/>
          <w:b/>
          <w:color w:val="1F4D78"/>
          <w:sz w:val="32"/>
        </w:rPr>
        <w:t>2. Workload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00"/>
            <w:shd w:fill="E8EEF5"/>
            <w:vAlign w:val="center"/>
          </w:tcPr>
          <w:p>
            <w:r>
              <w:rPr>
                <w:rFonts w:ascii="Arial" w:hAnsi="Arial" w:eastAsia="STSong"/>
                <w:b/>
                <w:color w:val="1F4D78"/>
                <w:sz w:val="19"/>
              </w:rPr>
              <w:t>Scenario</w:t>
            </w:r>
          </w:p>
        </w:tc>
        <w:tc>
          <w:tcPr>
            <w:tcW w:type="dxa" w:w="3900"/>
            <w:shd w:fill="E8EEF5"/>
            <w:vAlign w:val="center"/>
          </w:tcPr>
          <w:p>
            <w:r>
              <w:rPr>
                <w:rFonts w:ascii="Arial" w:hAnsi="Arial" w:eastAsia="STSong"/>
                <w:b/>
                <w:color w:val="1F4D78"/>
                <w:sz w:val="19"/>
              </w:rPr>
              <w:t>Primary need</w:t>
            </w:r>
          </w:p>
        </w:tc>
        <w:tc>
          <w:tcPr>
            <w:tcW w:type="dxa" w:w="3360"/>
            <w:shd w:fill="E8EEF5"/>
            <w:vAlign w:val="center"/>
          </w:tcPr>
          <w:p>
            <w:r>
              <w:rPr>
                <w:rFonts w:ascii="Arial" w:hAnsi="Arial" w:eastAsia="STSong"/>
                <w:b/>
                <w:color w:val="1F4D78"/>
                <w:sz w:val="19"/>
              </w:rPr>
              <w:t>Success measure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Training</w:t>
            </w:r>
          </w:p>
        </w:tc>
        <w:tc>
          <w:tcPr>
            <w:tcW w:type="dxa" w:w="390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Scale and private data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Shorter training cycle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Inference</w:t>
            </w:r>
          </w:p>
        </w:tc>
        <w:tc>
          <w:tcPr>
            <w:tcW w:type="dxa" w:w="390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Concurrency and latency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Lower unit cost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Robotics</w:t>
            </w:r>
          </w:p>
        </w:tc>
        <w:tc>
          <w:tcPr>
            <w:tcW w:type="dxa" w:w="390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Real-time edge compute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Stable latency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Local development</w:t>
            </w:r>
          </w:p>
        </w:tc>
        <w:tc>
          <w:tcPr>
            <w:tcW w:type="dxa" w:w="390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Fast desktop iteration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Less cloud rework</w:t>
            </w:r>
          </w:p>
        </w:tc>
      </w:tr>
    </w:tbl>
    <w:p>
      <w:pPr>
        <w:spacing w:after="80" w:line="264" w:lineRule="auto"/>
      </w:pPr>
      <w:r>
        <w:rPr>
          <w:rFonts w:ascii="Arial" w:hAnsi="Arial" w:eastAsia="STSong"/>
          <w:b w:val="0"/>
          <w:color w:val="24364B"/>
          <w:sz w:val="22"/>
        </w:rPr>
      </w:r>
    </w:p>
    <w:p>
      <w:pPr>
        <w:spacing w:after="160" w:line="264" w:lineRule="auto"/>
      </w:pPr>
      <w:r>
        <w:rPr>
          <w:rFonts w:ascii="Arial" w:hAnsi="Arial" w:eastAsia="STSong"/>
          <w:b/>
          <w:color w:val="1F4D78"/>
          <w:sz w:val="32"/>
        </w:rPr>
        <w:t>3. Constraints</w:t>
      </w:r>
    </w:p>
    <w:p>
      <w:pPr>
        <w:pStyle w:val="ListBullet"/>
        <w:spacing w:after="120" w:line="264" w:lineRule="auto"/>
        <w:ind w:left="720" w:hanging="360"/>
      </w:pPr>
      <w:r>
        <w:rPr>
          <w:rFonts w:ascii="Arial" w:hAnsi="Arial" w:eastAsia="STSong"/>
          <w:b w:val="0"/>
          <w:color w:val="24364B"/>
          <w:sz w:val="22"/>
        </w:rPr>
        <w:t>Power and cooling readiness are prerequisites for rack-scale systems.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Arial" w:hAnsi="Arial" w:eastAsia="STSong"/>
          <w:b w:val="0"/>
          <w:color w:val="24364B"/>
          <w:sz w:val="22"/>
        </w:rPr>
        <w:t>Rubin and Blackwell should be compared by delivery date, software maturity and workload fit.</w:t>
      </w:r>
    </w:p>
    <w:p>
      <w:pPr>
        <w:pStyle w:val="ListBullet"/>
        <w:spacing w:after="120" w:line="264" w:lineRule="auto"/>
        <w:ind w:left="720" w:hanging="360"/>
      </w:pPr>
      <w:r>
        <w:rPr>
          <w:rFonts w:ascii="Arial" w:hAnsi="Arial" w:eastAsia="STSong"/>
          <w:b w:val="0"/>
          <w:color w:val="24364B"/>
          <w:sz w:val="22"/>
        </w:rPr>
        <w:t>All performance and cost assumptions require supplier quotes and proof-of-concept validation.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STSong"/>
        <w:b w:val="0"/>
        <w:color w:val="64748B"/>
        <w:sz w:val="16"/>
      </w:rPr>
      <w:t>仅用于 FinFlow Studio 功能演示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STSong"/>
        <w:b/>
        <w:color w:val="64748B"/>
        <w:sz w:val="17"/>
      </w:rPr>
      <w:t>DEVICE PORTFOLIO DISCOVERY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