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64" w:lineRule="auto"/>
      </w:pPr>
      <w:r>
        <w:rPr>
          <w:rFonts w:ascii="Arial" w:hAnsi="Arial" w:eastAsia="STSong"/>
          <w:b/>
          <w:color w:val="1677FF"/>
          <w:sz w:val="18"/>
        </w:rPr>
        <w:t>FIVE-YEAR OPERATING REVIEW</w:t>
      </w:r>
    </w:p>
    <w:p>
      <w:pPr>
        <w:spacing w:after="100" w:line="264" w:lineRule="auto"/>
      </w:pPr>
      <w:r>
        <w:rPr>
          <w:rFonts w:ascii="Arial" w:hAnsi="Arial" w:eastAsia="STSong"/>
          <w:b/>
          <w:color w:val="1F4D78"/>
          <w:sz w:val="48"/>
        </w:rPr>
        <w:t>NVIDIA Operating Risk Review</w:t>
      </w:r>
    </w:p>
    <w:p>
      <w:pPr>
        <w:spacing w:after="320" w:line="264" w:lineRule="auto"/>
      </w:pPr>
      <w:r>
        <w:rPr>
          <w:rFonts w:ascii="Arial" w:hAnsi="Arial" w:eastAsia="STSong"/>
          <w:b w:val="0"/>
          <w:color w:val="64748B"/>
          <w:sz w:val="25"/>
        </w:rPr>
        <w:t>Companion controls for FY2022-FY2026 structured financial analysis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Audience  </w:t>
      </w:r>
      <w:r>
        <w:rPr>
          <w:rFonts w:ascii="Arial" w:hAnsi="Arial" w:eastAsia="STSong"/>
          <w:b w:val="0"/>
          <w:color w:val="24364B"/>
          <w:sz w:val="19"/>
        </w:rPr>
        <w:t>FP&amp;A, strategy and investment research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Basis  </w:t>
      </w:r>
      <w:r>
        <w:rPr>
          <w:rFonts w:ascii="Arial" w:hAnsi="Arial" w:eastAsia="STSong"/>
          <w:b w:val="0"/>
          <w:color w:val="24364B"/>
          <w:sz w:val="19"/>
        </w:rPr>
        <w:t>NVIDIA fiscal years; USD millions</w:t>
      </w:r>
    </w:p>
    <w:p>
      <w:pPr>
        <w:spacing w:after="40"/>
      </w:pPr>
      <w:r>
        <w:rPr>
          <w:rFonts w:ascii="Arial" w:hAnsi="Arial" w:eastAsia="STSong"/>
          <w:b/>
          <w:color w:val="1F4D78"/>
          <w:sz w:val="19"/>
        </w:rPr>
        <w:t xml:space="preserve">Notice  </w:t>
      </w:r>
      <w:r>
        <w:rPr>
          <w:rFonts w:ascii="Arial" w:hAnsi="Arial" w:eastAsia="STSong"/>
          <w:b w:val="0"/>
          <w:color w:val="24364B"/>
          <w:sz w:val="19"/>
        </w:rPr>
        <w:t>Public-data demo; not investment advice</w:t>
      </w:r>
    </w:p>
    <w:p>
      <w:pPr>
        <w:spacing w:after="100" w:line="264" w:lineRule="auto"/>
      </w:pPr>
      <w:r>
        <w:rPr>
          <w:rFonts w:ascii="Arial" w:hAnsi="Arial" w:eastAsia="STSong"/>
          <w:b w:val="0"/>
          <w:color w:val="24364B"/>
          <w:sz w:val="22"/>
        </w:rPr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1. Analysis spine</w:t>
      </w:r>
    </w:p>
    <w:p>
      <w:pPr>
        <w:spacing w:after="120" w:line="264" w:lineRule="auto"/>
      </w:pPr>
      <w:r>
        <w:rPr>
          <w:rFonts w:ascii="Arial" w:hAnsi="Arial" w:eastAsia="STSong"/>
          <w:b w:val="0"/>
          <w:color w:val="24364B"/>
          <w:sz w:val="22"/>
        </w:rPr>
        <w:t>Compare growth, margin, cash conversion, R&amp;D, inventory, business mix and risk indicators on one fiscal-year basis. Operating income and operating cash flow should corroborate growth conclusions.</w:t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2. Key lenses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Theme</w:t>
            </w:r>
          </w:p>
        </w:tc>
        <w:tc>
          <w:tcPr>
            <w:tcW w:type="dxa" w:w="330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Signal</w:t>
            </w:r>
          </w:p>
        </w:tc>
        <w:tc>
          <w:tcPr>
            <w:tcW w:type="dxa" w:w="4160"/>
            <w:shd w:fill="E8EEF5"/>
            <w:vAlign w:val="center"/>
          </w:tcPr>
          <w:p>
            <w:r>
              <w:rPr>
                <w:rFonts w:ascii="Arial" w:hAnsi="Arial" w:eastAsia="STSong"/>
                <w:b/>
                <w:color w:val="1F4D78"/>
                <w:sz w:val="19"/>
              </w:rPr>
              <w:t>Management use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Growth quality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Revenue, profit, cash flow</w:t>
            </w:r>
          </w:p>
        </w:tc>
        <w:tc>
          <w:tcPr>
            <w:tcW w:type="dxa" w:w="41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Test durability of AI demand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Product transition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Margin and inventory</w:t>
            </w:r>
          </w:p>
        </w:tc>
        <w:tc>
          <w:tcPr>
            <w:tcW w:type="dxa" w:w="41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Identify transition cost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Concentration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Customer and supply exposure</w:t>
            </w:r>
          </w:p>
        </w:tc>
        <w:tc>
          <w:tcPr>
            <w:tcW w:type="dxa" w:w="41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Assess delivery risk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Regulation</w:t>
            </w:r>
          </w:p>
        </w:tc>
        <w:tc>
          <w:tcPr>
            <w:tcW w:type="dxa" w:w="330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Export controls</w:t>
            </w:r>
          </w:p>
        </w:tc>
        <w:tc>
          <w:tcPr>
            <w:tcW w:type="dxa" w:w="4160"/>
            <w:vAlign w:val="center"/>
          </w:tcPr>
          <w:p>
            <w:r>
              <w:rPr>
                <w:rFonts w:ascii="Arial" w:hAnsi="Arial" w:eastAsia="STSong"/>
                <w:b w:val="0"/>
                <w:color w:val="24364B"/>
                <w:sz w:val="18"/>
              </w:rPr>
              <w:t>Run regional scenarios</w:t>
            </w:r>
          </w:p>
        </w:tc>
      </w:tr>
    </w:tbl>
    <w:p>
      <w:pPr>
        <w:spacing w:after="80" w:line="264" w:lineRule="auto"/>
      </w:pPr>
      <w:r>
        <w:rPr>
          <w:rFonts w:ascii="Arial" w:hAnsi="Arial" w:eastAsia="STSong"/>
          <w:b w:val="0"/>
          <w:color w:val="24364B"/>
          <w:sz w:val="22"/>
        </w:rPr>
      </w:r>
    </w:p>
    <w:p>
      <w:pPr>
        <w:spacing w:after="160" w:line="264" w:lineRule="auto"/>
      </w:pPr>
      <w:r>
        <w:rPr>
          <w:rFonts w:ascii="Arial" w:hAnsi="Arial" w:eastAsia="STSong"/>
          <w:b/>
          <w:color w:val="1F4D78"/>
          <w:sz w:val="32"/>
        </w:rPr>
        <w:t>3. Output controls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Separate disclosed facts, reproducible metrics and management judgment.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Label simulated segment data explicitly.</w:t>
      </w:r>
    </w:p>
    <w:p>
      <w:pPr>
        <w:pStyle w:val="ListBullet"/>
        <w:spacing w:after="120" w:line="264" w:lineRule="auto"/>
        <w:ind w:left="720" w:hanging="360"/>
      </w:pPr>
      <w:r>
        <w:rPr>
          <w:rFonts w:ascii="Arial" w:hAnsi="Arial" w:eastAsia="STSong"/>
          <w:b w:val="0"/>
          <w:color w:val="24364B"/>
          <w:sz w:val="22"/>
        </w:rPr>
        <w:t>Attach source, fiscal year, unit and open validation item to each conclusion.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TSong"/>
        <w:b w:val="0"/>
        <w:color w:val="64748B"/>
        <w:sz w:val="16"/>
      </w:rPr>
      <w:t>仅用于 FinFlow Studio 功能演示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STSong"/>
        <w:b/>
        <w:color w:val="64748B"/>
        <w:sz w:val="17"/>
      </w:rPr>
      <w:t>FIVE-YEAR OPERATING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