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PingFang SC" w:hAnsi="PingFang SC" w:eastAsia="PingFang SC" w:cs="PingFang SC"/>
          <w:color w:val="1F2937"/>
        </w:rPr>
        <w:t>2026 全球税务政策趋势与实施建议</w:t>
      </w:r>
    </w:p>
    <w:p>
      <w:r>
        <w:rPr>
          <w:rFonts w:ascii="PingFang SC" w:hAnsi="PingFang SC" w:eastAsia="PingFang SC" w:cs="PingFang SC"/>
          <w:color w:val="5B697D"/>
        </w:rPr>
        <w:t>可编辑工作报告</w:t>
      </w:r>
    </w:p>
    <w:p>
      <w:pPr>
        <w:pStyle w:val="Heading1"/>
        <w:keepNext/>
      </w:pPr>
      <w:r>
        <w:rPr>
          <w:rFonts w:ascii="PingFang SC" w:hAnsi="PingFang SC" w:eastAsia="PingFang SC" w:cs="PingFang SC"/>
        </w:rPr>
        <w:t>执行重点转向运营落地[1]</w:t>
      </w:r>
    </w:p>
    <w:p>
      <w:r>
        <w:rPr>
          <w:rFonts w:ascii="PingFang SC" w:hAnsi="PingFang SC" w:eastAsia="PingFang SC" w:cs="PingFang SC"/>
        </w:rPr>
        <w:t>五大议题阶段不同，须按证据强度分类推进。[1][2][3][4][5]</w:t>
      </w:r>
    </w:p>
    <w:p>
      <w:pPr>
        <w:pStyle w:val="ListBullet"/>
      </w:pPr>
      <w:r>
        <w:rPr>
          <w:rFonts w:ascii="PingFang SC" w:hAnsi="PingFang SC" w:eastAsia="PingFang SC" w:cs="PingFang SC"/>
        </w:rPr>
        <w:t>优先联动整改低税率、高进口暴露实体。[7]</w:t>
      </w:r>
    </w:p>
    <w:p>
      <w:pPr>
        <w:pStyle w:val="ListBullet"/>
      </w:pPr>
      <w:r>
        <w:rPr>
          <w:rFonts w:ascii="PingFang SC" w:hAnsi="PingFang SC" w:eastAsia="PingFang SC" w:cs="PingFang SC"/>
        </w:rPr>
        <w:t>美国部分条款与联合国进程不得过度定性。[4][5]</w:t>
      </w:r>
    </w:p>
    <w:p>
      <w:pPr>
        <w:pStyle w:val="ListBullet"/>
      </w:pPr>
      <w:r>
        <w:rPr>
          <w:rFonts w:ascii="PingFang SC" w:hAnsi="PingFang SC" w:eastAsia="PingFang SC" w:cs="PingFang SC"/>
        </w:rPr>
        <w:t>现金情景仅用于资源配置与压力测试。[8]</w:t>
      </w:r>
    </w:p>
    <w:p>
      <w:r>
        <w:rPr>
          <w:rFonts w:ascii="PingFang SC" w:hAnsi="PingFang SC" w:eastAsia="PingFang SC" w:cs="PingFang SC"/>
        </w:rPr>
        <w:br w:type="page"/>
      </w:r>
    </w:p>
    <w:p>
      <w:pPr>
        <w:pStyle w:val="Heading1"/>
        <w:keepNext/>
      </w:pPr>
      <w:r>
        <w:rPr>
          <w:rFonts w:ascii="PingFang SC" w:hAnsi="PingFang SC" w:eastAsia="PingFang SC" w:cs="PingFang SC"/>
        </w:rPr>
        <w:t>政策判断实行证据分层[9]</w:t>
      </w:r>
    </w:p>
    <w:p>
      <w:r>
        <w:rPr>
          <w:rFonts w:ascii="PingFang SC" w:hAnsi="PingFang SC" w:eastAsia="PingFang SC" w:cs="PingFang SC"/>
        </w:rPr>
        <w:t>正式规则、准备事项和谈判进程应分别管理。[9]</w:t>
      </w:r>
    </w:p>
    <w:p>
      <w:pPr>
        <w:pStyle w:val="ListBullet"/>
      </w:pPr>
      <w:r>
        <w:rPr>
          <w:rFonts w:ascii="PingFang SC" w:hAnsi="PingFang SC" w:eastAsia="PingFang SC" w:cs="PingFang SC"/>
        </w:rPr>
        <w:t>法律义务以适用辖区正式文件为准。[9]</w:t>
      </w:r>
    </w:p>
    <w:p>
      <w:pPr>
        <w:pStyle w:val="ListBullet"/>
      </w:pPr>
      <w:r>
        <w:rPr>
          <w:rFonts w:ascii="PingFang SC" w:hAnsi="PingFang SC" w:eastAsia="PingFang SC" w:cs="PingFang SC"/>
        </w:rPr>
        <w:t>模拟金额不得表述为税款或预计负债。[8]</w:t>
      </w:r>
    </w:p>
    <w:p>
      <w:pPr>
        <w:pStyle w:val="ListBullet"/>
      </w:pPr>
      <w:r>
        <w:rPr>
          <w:rFonts w:ascii="PingFang SC" w:hAnsi="PingFang SC" w:eastAsia="PingFang SC" w:cs="PingFang SC"/>
        </w:rPr>
        <w:t>每项结论须保留来源与计算血缘。[9]</w:t>
      </w:r>
    </w:p>
    <w:p>
      <w:r>
        <w:rPr>
          <w:rFonts w:ascii="PingFang SC" w:hAnsi="PingFang SC" w:eastAsia="PingFang SC" w:cs="PingFang SC"/>
        </w:rPr>
        <w:drawing>
          <wp:inline xmlns:a="http://schemas.openxmlformats.org/drawingml/2006/main" xmlns:pic="http://schemas.openxmlformats.org/drawingml/2006/picture">
            <wp:extent cx="5806440" cy="31451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451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PingFang SC" w:hAnsi="PingFang SC" w:eastAsia="PingFang SC" w:cs="PingFang SC"/>
          <w:color w:val="5B697D"/>
          <w:sz w:val="17"/>
        </w:rPr>
        <w:t>图表来源：[6]</w:t>
      </w:r>
    </w:p>
    <w:p>
      <w:pPr>
        <w:pStyle w:val="Heading1"/>
        <w:keepNext/>
      </w:pPr>
      <w:r>
        <w:rPr>
          <w:rFonts w:ascii="PingFang SC" w:hAnsi="PingFang SC" w:eastAsia="PingFang SC" w:cs="PingFang SC"/>
        </w:rPr>
        <w:t>五大主题处于不同阶段[6]</w:t>
      </w:r>
    </w:p>
    <w:p>
      <w:r>
        <w:rPr>
          <w:rFonts w:ascii="PingFang SC" w:hAnsi="PingFang SC" w:eastAsia="PingFang SC" w:cs="PingFang SC"/>
        </w:rPr>
        <w:t>近期资源应向已执行或正式生效事项倾斜。[6]</w:t>
      </w:r>
    </w:p>
    <w:p>
      <w:pPr>
        <w:pStyle w:val="ListBullet"/>
      </w:pPr>
      <w:r>
        <w:rPr>
          <w:rFonts w:ascii="PingFang SC" w:hAnsi="PingFang SC" w:eastAsia="PingFang SC" w:cs="PingFang SC"/>
        </w:rPr>
        <w:t>Pillar Two进入执行与申报完善期。[1]</w:t>
      </w:r>
    </w:p>
    <w:p>
      <w:pPr>
        <w:pStyle w:val="ListBullet"/>
      </w:pPr>
      <w:r>
        <w:rPr>
          <w:rFonts w:ascii="PingFang SC" w:hAnsi="PingFang SC" w:eastAsia="PingFang SC" w:cs="PingFang SC"/>
        </w:rPr>
        <w:t>CBAM已正式适用，ViDA仍分阶段准备。[2][3]</w:t>
      </w:r>
    </w:p>
    <w:p>
      <w:pPr>
        <w:pStyle w:val="ListBullet"/>
      </w:pPr>
      <w:r>
        <w:rPr>
          <w:rFonts w:ascii="PingFang SC" w:hAnsi="PingFang SC" w:eastAsia="PingFang SC" w:cs="PingFang SC"/>
        </w:rPr>
        <w:t>联合国税收公约尚处谈判进程。[5]</w:t>
      </w:r>
    </w:p>
    <w:p>
      <w:r>
        <w:rPr>
          <w:rFonts w:ascii="PingFang SC" w:hAnsi="PingFang SC" w:eastAsia="PingFang SC" w:cs="PingFang SC"/>
        </w:rPr>
        <w:br w:type="page"/>
      </w:r>
    </w:p>
    <w:p>
      <w:pPr>
        <w:pStyle w:val="Heading1"/>
        <w:keepNext/>
      </w:pPr>
      <w:r>
        <w:rPr>
          <w:rFonts w:ascii="PingFang SC" w:hAnsi="PingFang SC" w:eastAsia="PingFang SC" w:cs="PingFang SC"/>
        </w:rPr>
        <w:t>Pillar Two进入常态运营[1]</w:t>
      </w:r>
    </w:p>
    <w:p>
      <w:r>
        <w:rPr>
          <w:rFonts w:ascii="PingFang SC" w:hAnsi="PingFang SC" w:eastAsia="PingFang SC" w:cs="PingFang SC"/>
        </w:rPr>
        <w:t>计算、GIR和行政协调需形成闭环控制。[1]</w:t>
      </w:r>
    </w:p>
    <w:p>
      <w:pPr>
        <w:pStyle w:val="ListBullet"/>
      </w:pPr>
      <w:r>
        <w:rPr>
          <w:rFonts w:ascii="PingFang SC" w:hAnsi="PingFang SC" w:eastAsia="PingFang SC" w:cs="PingFang SC"/>
        </w:rPr>
        <w:t>建立实体范围、调整项和安全港复核。[1][9]</w:t>
      </w:r>
    </w:p>
    <w:p>
      <w:pPr>
        <w:pStyle w:val="ListBullet"/>
      </w:pPr>
      <w:r>
        <w:rPr>
          <w:rFonts w:ascii="PingFang SC" w:hAnsi="PingFang SC" w:eastAsia="PingFang SC" w:cs="PingFang SC"/>
        </w:rPr>
        <w:t>贯通总账、GloBE计算与GIR字段。[1][9]</w:t>
      </w:r>
    </w:p>
    <w:p>
      <w:pPr>
        <w:pStyle w:val="ListBullet"/>
      </w:pPr>
      <w:r>
        <w:rPr>
          <w:rFonts w:ascii="PingFang SC" w:hAnsi="PingFang SC" w:eastAsia="PingFang SC" w:cs="PingFang SC"/>
        </w:rPr>
        <w:t>集中申报与交换关系须同步验证。[1]</w:t>
      </w:r>
    </w:p>
    <w:p>
      <w:r>
        <w:rPr>
          <w:rFonts w:ascii="PingFang SC" w:hAnsi="PingFang SC" w:eastAsia="PingFang SC" w:cs="PingFang SC"/>
        </w:rPr>
        <w:drawing>
          <wp:inline xmlns:a="http://schemas.openxmlformats.org/drawingml/2006/main" xmlns:pic="http://schemas.openxmlformats.org/drawingml/2006/picture">
            <wp:extent cx="5806440" cy="314515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451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PingFang SC" w:hAnsi="PingFang SC" w:eastAsia="PingFang SC" w:cs="PingFang SC"/>
          <w:color w:val="5B697D"/>
          <w:sz w:val="17"/>
        </w:rPr>
        <w:t>图表来源：[7]</w:t>
      </w:r>
    </w:p>
    <w:p>
      <w:r>
        <w:rPr>
          <w:rFonts w:ascii="PingFang SC" w:hAnsi="PingFang SC" w:eastAsia="PingFang SC" w:cs="PingFang SC"/>
        </w:rPr>
        <w:br w:type="page"/>
      </w:r>
    </w:p>
    <w:p>
      <w:pPr>
        <w:pStyle w:val="Heading1"/>
        <w:keepNext/>
      </w:pPr>
      <w:r>
        <w:rPr>
          <w:rFonts w:ascii="PingFang SC" w:hAnsi="PingFang SC" w:eastAsia="PingFang SC" w:cs="PingFang SC"/>
        </w:rPr>
        <w:t>CBAM转入成本合规管理[2]</w:t>
      </w:r>
    </w:p>
    <w:p>
      <w:r>
        <w:rPr>
          <w:rFonts w:ascii="PingFang SC" w:hAnsi="PingFang SC" w:eastAsia="PingFang SC" w:cs="PingFang SC"/>
        </w:rPr>
        <w:t>授权申报、排放数据和证书现金成为重点。[2]</w:t>
      </w:r>
    </w:p>
    <w:p>
      <w:pPr>
        <w:pStyle w:val="ListBullet"/>
      </w:pPr>
      <w:r>
        <w:rPr>
          <w:rFonts w:ascii="PingFang SC" w:hAnsi="PingFang SC" w:eastAsia="PingFang SC" w:cs="PingFang SC"/>
        </w:rPr>
        <w:t>建立采购至证书管理的追溯链条。[2][9]</w:t>
      </w:r>
    </w:p>
    <w:p>
      <w:pPr>
        <w:pStyle w:val="ListBullet"/>
      </w:pPr>
      <w:r>
        <w:rPr>
          <w:rFonts w:ascii="PingFang SC" w:hAnsi="PingFang SC" w:eastAsia="PingFang SC" w:cs="PingFang SC"/>
        </w:rPr>
        <w:t>进口额不等同于最终CBAM成本。[7]</w:t>
      </w:r>
    </w:p>
    <w:p>
      <w:pPr>
        <w:pStyle w:val="ListBullet"/>
      </w:pPr>
      <w:r>
        <w:rPr>
          <w:rFonts w:ascii="PingFang SC" w:hAnsi="PingFang SC" w:eastAsia="PingFang SC" w:cs="PingFang SC"/>
        </w:rPr>
        <w:t>供应商缺失数据应设置升级机制。[9]</w:t>
      </w:r>
    </w:p>
    <w:p>
      <w:r>
        <w:rPr>
          <w:rFonts w:ascii="PingFang SC" w:hAnsi="PingFang SC" w:eastAsia="PingFang SC" w:cs="PingFang SC"/>
        </w:rPr>
        <w:drawing>
          <wp:inline xmlns:a="http://schemas.openxmlformats.org/drawingml/2006/main" xmlns:pic="http://schemas.openxmlformats.org/drawingml/2006/picture">
            <wp:extent cx="5806440" cy="314515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451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PingFang SC" w:hAnsi="PingFang SC" w:eastAsia="PingFang SC" w:cs="PingFang SC"/>
          <w:color w:val="5B697D"/>
          <w:sz w:val="17"/>
        </w:rPr>
        <w:t>图表来源：[7]</w:t>
      </w:r>
    </w:p>
    <w:p>
      <w:r>
        <w:rPr>
          <w:rFonts w:ascii="PingFang SC" w:hAnsi="PingFang SC" w:eastAsia="PingFang SC" w:cs="PingFang SC"/>
        </w:rPr>
        <w:br w:type="page"/>
      </w:r>
    </w:p>
    <w:p>
      <w:pPr>
        <w:pStyle w:val="Heading1"/>
        <w:keepNext/>
      </w:pPr>
      <w:r>
        <w:rPr>
          <w:rFonts w:ascii="PingFang SC" w:hAnsi="PingFang SC" w:eastAsia="PingFang SC" w:cs="PingFang SC"/>
        </w:rPr>
        <w:t>ViDA改造需按国家排期[3]</w:t>
      </w:r>
    </w:p>
    <w:p>
      <w:r>
        <w:rPr>
          <w:rFonts w:ascii="PingFang SC" w:hAnsi="PingFang SC" w:eastAsia="PingFang SC" w:cs="PingFang SC"/>
        </w:rPr>
        <w:t>电子发票与数字报告应拆分里程碑实施。[3]</w:t>
      </w:r>
    </w:p>
    <w:p>
      <w:pPr>
        <w:pStyle w:val="ListBullet"/>
      </w:pPr>
      <w:r>
        <w:rPr>
          <w:rFonts w:ascii="PingFang SC" w:hAnsi="PingFang SC" w:eastAsia="PingFang SC" w:cs="PingFang SC"/>
        </w:rPr>
        <w:t>治理VAT分类、发票状态和平台角色。[3][9]</w:t>
      </w:r>
    </w:p>
    <w:p>
      <w:pPr>
        <w:pStyle w:val="ListBullet"/>
      </w:pPr>
      <w:r>
        <w:rPr>
          <w:rFonts w:ascii="PingFang SC" w:hAnsi="PingFang SC" w:eastAsia="PingFang SC" w:cs="PingFang SC"/>
        </w:rPr>
        <w:t>建立拒票、更正及报告接口控制。[3]</w:t>
      </w:r>
    </w:p>
    <w:p>
      <w:pPr>
        <w:pStyle w:val="ListBullet"/>
      </w:pPr>
      <w:r>
        <w:rPr>
          <w:rFonts w:ascii="PingFang SC" w:hAnsi="PingFang SC" w:eastAsia="PingFang SC" w:cs="PingFang SC"/>
        </w:rPr>
        <w:t>实际实施日期须按成员国逐项确认。[3]</w:t>
      </w:r>
    </w:p>
    <w:p>
      <w:r>
        <w:rPr>
          <w:rFonts w:ascii="PingFang SC" w:hAnsi="PingFang SC" w:eastAsia="PingFang SC" w:cs="PingFang SC"/>
        </w:rPr>
        <w:drawing>
          <wp:inline xmlns:a="http://schemas.openxmlformats.org/drawingml/2006/main" xmlns:pic="http://schemas.openxmlformats.org/drawingml/2006/picture">
            <wp:extent cx="5806440" cy="314515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451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PingFang SC" w:hAnsi="PingFang SC" w:eastAsia="PingFang SC" w:cs="PingFang SC"/>
          <w:color w:val="5B697D"/>
          <w:sz w:val="17"/>
        </w:rPr>
        <w:t>图表来源：[7]</w:t>
      </w:r>
    </w:p>
    <w:p>
      <w:pPr>
        <w:pStyle w:val="Heading1"/>
        <w:keepNext/>
      </w:pPr>
      <w:r>
        <w:rPr>
          <w:rFonts w:ascii="PingFang SC" w:hAnsi="PingFang SC" w:eastAsia="PingFang SC" w:cs="PingFang SC"/>
        </w:rPr>
        <w:t>美国税务结论存在证据缺口[4]</w:t>
      </w:r>
    </w:p>
    <w:p>
      <w:r>
        <w:rPr>
          <w:rFonts w:ascii="PingFang SC" w:hAnsi="PingFang SC" w:eastAsia="PingFang SC" w:cs="PingFang SC"/>
        </w:rPr>
        <w:t>当前官方依据仅足以支持BEAT申报核查。[4]</w:t>
      </w:r>
    </w:p>
    <w:p>
      <w:pPr>
        <w:pStyle w:val="ListBullet"/>
      </w:pPr>
      <w:r>
        <w:rPr>
          <w:rFonts w:ascii="PingFang SC" w:hAnsi="PingFang SC" w:eastAsia="PingFang SC" w:cs="PingFang SC"/>
        </w:rPr>
        <w:t>先勾稽Form 8991与关联方付款。[4]</w:t>
      </w:r>
    </w:p>
    <w:p>
      <w:pPr>
        <w:pStyle w:val="ListBullet"/>
      </w:pPr>
      <w:r>
        <w:rPr>
          <w:rFonts w:ascii="PingFang SC" w:hAnsi="PingFang SC" w:eastAsia="PingFang SC" w:cs="PingFang SC"/>
        </w:rPr>
        <w:t>第163(j)条及CAMT须补充官方依据。[4][6]</w:t>
      </w:r>
    </w:p>
    <w:p>
      <w:pPr>
        <w:pStyle w:val="ListBullet"/>
      </w:pPr>
      <w:r>
        <w:rPr>
          <w:rFonts w:ascii="PingFang SC" w:hAnsi="PingFang SC" w:eastAsia="PingFang SC" w:cs="PingFang SC"/>
        </w:rPr>
        <w:t>观察税率不能推导具体条款税负。[7]</w:t>
      </w:r>
    </w:p>
    <w:p>
      <w:pPr>
        <w:pStyle w:val="Heading1"/>
        <w:keepNext/>
      </w:pPr>
      <w:r>
        <w:rPr>
          <w:rFonts w:ascii="PingFang SC" w:hAnsi="PingFang SC" w:eastAsia="PingFang SC" w:cs="PingFang SC"/>
        </w:rPr>
        <w:t>联合国议题仅作政策监测[5]</w:t>
      </w:r>
    </w:p>
    <w:p>
      <w:r>
        <w:rPr>
          <w:rFonts w:ascii="PingFang SC" w:hAnsi="PingFang SC" w:eastAsia="PingFang SC" w:cs="PingFang SC"/>
        </w:rPr>
        <w:t>谈判进程暂不形成新增税款或申报义务。[5]</w:t>
      </w:r>
    </w:p>
    <w:p>
      <w:pPr>
        <w:pStyle w:val="ListBullet"/>
      </w:pPr>
      <w:r>
        <w:rPr>
          <w:rFonts w:ascii="PingFang SC" w:hAnsi="PingFang SC" w:eastAsia="PingFang SC" w:cs="PingFang SC"/>
        </w:rPr>
        <w:t>建立跨境服务及预提税数据集。[6]</w:t>
      </w:r>
    </w:p>
    <w:p>
      <w:pPr>
        <w:pStyle w:val="ListBullet"/>
      </w:pPr>
      <w:r>
        <w:rPr>
          <w:rFonts w:ascii="PingFang SC" w:hAnsi="PingFang SC" w:eastAsia="PingFang SC" w:cs="PingFang SC"/>
        </w:rPr>
        <w:t>跟踪服务课税与争议防范文本。[5]</w:t>
      </w:r>
    </w:p>
    <w:p>
      <w:pPr>
        <w:pStyle w:val="ListBullet"/>
      </w:pPr>
      <w:r>
        <w:rPr>
          <w:rFonts w:ascii="PingFang SC" w:hAnsi="PingFang SC" w:eastAsia="PingFang SC" w:cs="PingFang SC"/>
        </w:rPr>
        <w:t>正式通过及国内实施前不得视为法律。[5]</w:t>
      </w:r>
    </w:p>
    <w:p>
      <w:r>
        <w:rPr>
          <w:rFonts w:ascii="PingFang SC" w:hAnsi="PingFang SC" w:eastAsia="PingFang SC" w:cs="PingFang SC"/>
        </w:rPr>
        <w:br w:type="page"/>
      </w:r>
    </w:p>
    <w:p>
      <w:pPr>
        <w:pStyle w:val="Heading1"/>
        <w:keepNext/>
      </w:pPr>
      <w:r>
        <w:rPr>
          <w:rFonts w:ascii="PingFang SC" w:hAnsi="PingFang SC" w:eastAsia="PingFang SC" w:cs="PingFang SC"/>
        </w:rPr>
        <w:t>区域准备度差异显著[7]</w:t>
      </w:r>
    </w:p>
    <w:p>
      <w:r>
        <w:rPr>
          <w:rFonts w:ascii="PingFang SC" w:hAnsi="PingFang SC" w:eastAsia="PingFang SC" w:cs="PingFang SC"/>
        </w:rPr>
        <w:t>非洲、中东和拉美的数据治理短板更突出。[7]</w:t>
      </w:r>
    </w:p>
    <w:p>
      <w:pPr>
        <w:pStyle w:val="ListBullet"/>
      </w:pPr>
      <w:r>
        <w:rPr>
          <w:rFonts w:ascii="PingFang SC" w:hAnsi="PingFang SC" w:eastAsia="PingFang SC" w:cs="PingFang SC"/>
        </w:rPr>
        <w:t>欧盟Pillar Two准备度最高。[7]</w:t>
      </w:r>
    </w:p>
    <w:p>
      <w:pPr>
        <w:pStyle w:val="ListBullet"/>
      </w:pPr>
      <w:r>
        <w:rPr>
          <w:rFonts w:ascii="PingFang SC" w:hAnsi="PingFang SC" w:eastAsia="PingFang SC" w:cs="PingFang SC"/>
        </w:rPr>
        <w:t>非洲两项准备度均处最低水平。[7]</w:t>
      </w:r>
    </w:p>
    <w:p>
      <w:pPr>
        <w:pStyle w:val="ListBullet"/>
      </w:pPr>
      <w:r>
        <w:rPr>
          <w:rFonts w:ascii="PingFang SC" w:hAnsi="PingFang SC" w:eastAsia="PingFang SC" w:cs="PingFang SC"/>
        </w:rPr>
        <w:t>区域资源应结合暴露与数据缺口配置。[7][9]</w:t>
      </w:r>
    </w:p>
    <w:p>
      <w:r>
        <w:rPr>
          <w:rFonts w:ascii="PingFang SC" w:hAnsi="PingFang SC" w:eastAsia="PingFang SC" w:cs="PingFang SC"/>
        </w:rPr>
        <w:drawing>
          <wp:inline xmlns:a="http://schemas.openxmlformats.org/drawingml/2006/main" xmlns:pic="http://schemas.openxmlformats.org/drawingml/2006/picture">
            <wp:extent cx="5806440" cy="314515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451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PingFang SC" w:hAnsi="PingFang SC" w:eastAsia="PingFang SC" w:cs="PingFang SC"/>
          <w:color w:val="5B697D"/>
          <w:sz w:val="17"/>
        </w:rPr>
        <w:t>图表来源：[7]</w:t>
      </w:r>
    </w:p>
    <w:p>
      <w:r>
        <w:rPr>
          <w:rFonts w:ascii="PingFang SC" w:hAnsi="PingFang SC" w:eastAsia="PingFang SC" w:cs="PingFang SC"/>
        </w:rPr>
        <w:br w:type="page"/>
      </w:r>
    </w:p>
    <w:p>
      <w:pPr>
        <w:pStyle w:val="Heading1"/>
        <w:keepNext/>
      </w:pPr>
      <w:r>
        <w:rPr>
          <w:rFonts w:ascii="PingFang SC" w:hAnsi="PingFang SC" w:eastAsia="PingFang SC" w:cs="PingFang SC"/>
        </w:rPr>
        <w:t>五家实体应优先整改[7]</w:t>
      </w:r>
    </w:p>
    <w:p>
      <w:r>
        <w:rPr>
          <w:rFonts w:ascii="PingFang SC" w:hAnsi="PingFang SC" w:eastAsia="PingFang SC" w:cs="PingFang SC"/>
        </w:rPr>
        <w:t>EU-PL-01兼具低税率与高CBAM暴露。[7]</w:t>
      </w:r>
    </w:p>
    <w:p>
      <w:pPr>
        <w:pStyle w:val="ListBullet"/>
      </w:pPr>
      <w:r>
        <w:rPr>
          <w:rFonts w:ascii="PingFang SC" w:hAnsi="PingFang SC" w:eastAsia="PingFang SC" w:cs="PingFang SC"/>
        </w:rPr>
        <w:t>BR-01投入前须先复核适用范围。[7]</w:t>
      </w:r>
    </w:p>
    <w:p>
      <w:pPr>
        <w:pStyle w:val="ListBullet"/>
      </w:pPr>
      <w:r>
        <w:rPr>
          <w:rFonts w:ascii="PingFang SC" w:hAnsi="PingFang SC" w:eastAsia="PingFang SC" w:cs="PingFang SC"/>
        </w:rPr>
        <w:t>AE-01数据完整度与准备度均偏低。[7]</w:t>
      </w:r>
    </w:p>
    <w:p>
      <w:pPr>
        <w:pStyle w:val="ListBullet"/>
      </w:pPr>
      <w:r>
        <w:rPr>
          <w:rFonts w:ascii="PingFang SC" w:hAnsi="PingFang SC" w:eastAsia="PingFang SC" w:cs="PingFang SC"/>
        </w:rPr>
        <w:t>荷兰及德国实体承受较高执行压力。[7]</w:t>
      </w:r>
    </w:p>
    <w:p>
      <w:r>
        <w:rPr>
          <w:rFonts w:ascii="PingFang SC" w:hAnsi="PingFang SC" w:eastAsia="PingFang SC" w:cs="PingFang SC"/>
        </w:rPr>
        <w:drawing>
          <wp:inline xmlns:a="http://schemas.openxmlformats.org/drawingml/2006/main" xmlns:pic="http://schemas.openxmlformats.org/drawingml/2006/picture">
            <wp:extent cx="5806440" cy="314515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451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PingFang SC" w:hAnsi="PingFang SC" w:eastAsia="PingFang SC" w:cs="PingFang SC"/>
          <w:color w:val="5B697D"/>
          <w:sz w:val="17"/>
        </w:rPr>
        <w:t>图表来源：[7]</w:t>
      </w:r>
    </w:p>
    <w:p>
      <w:r>
        <w:rPr>
          <w:rFonts w:ascii="PingFang SC" w:hAnsi="PingFang SC" w:eastAsia="PingFang SC" w:cs="PingFang SC"/>
        </w:rPr>
        <w:br w:type="page"/>
      </w:r>
    </w:p>
    <w:p>
      <w:pPr>
        <w:pStyle w:val="Heading1"/>
        <w:keepNext/>
      </w:pPr>
      <w:r>
        <w:rPr>
          <w:rFonts w:ascii="PingFang SC" w:hAnsi="PingFang SC" w:eastAsia="PingFang SC" w:cs="PingFang SC"/>
        </w:rPr>
        <w:t>实体数据质量决定落地速度[7]</w:t>
      </w:r>
    </w:p>
    <w:p>
      <w:r>
        <w:rPr>
          <w:rFonts w:ascii="PingFang SC" w:hAnsi="PingFang SC" w:eastAsia="PingFang SC" w:cs="PingFang SC"/>
        </w:rPr>
        <w:t>低完整度实体应先补证据再扩大技术投入。[7]</w:t>
      </w:r>
    </w:p>
    <w:p>
      <w:pPr>
        <w:pStyle w:val="ListBullet"/>
      </w:pPr>
      <w:r>
        <w:rPr>
          <w:rFonts w:ascii="PingFang SC" w:hAnsi="PingFang SC" w:eastAsia="PingFang SC" w:cs="PingFang SC"/>
        </w:rPr>
        <w:t>AE-01数据完整度仅为68%。[7]</w:t>
      </w:r>
    </w:p>
    <w:p>
      <w:pPr>
        <w:pStyle w:val="ListBullet"/>
      </w:pPr>
      <w:r>
        <w:rPr>
          <w:rFonts w:ascii="PingFang SC" w:hAnsi="PingFang SC" w:eastAsia="PingFang SC" w:cs="PingFang SC"/>
        </w:rPr>
        <w:t>BR-01与EU-PL-01也存在明显缺口。[7]</w:t>
      </w:r>
    </w:p>
    <w:p>
      <w:pPr>
        <w:pStyle w:val="ListBullet"/>
      </w:pPr>
      <w:r>
        <w:rPr>
          <w:rFonts w:ascii="PingFang SC" w:hAnsi="PingFang SC" w:eastAsia="PingFang SC" w:cs="PingFang SC"/>
        </w:rPr>
        <w:t>美国实体数据较完整但政策仍待验证。[4][7]</w:t>
      </w:r>
    </w:p>
    <w:p>
      <w:r>
        <w:rPr>
          <w:rFonts w:ascii="PingFang SC" w:hAnsi="PingFang SC" w:eastAsia="PingFang SC" w:cs="PingFang SC"/>
        </w:rPr>
        <w:drawing>
          <wp:inline xmlns:a="http://schemas.openxmlformats.org/drawingml/2006/main" xmlns:pic="http://schemas.openxmlformats.org/drawingml/2006/picture">
            <wp:extent cx="5806440" cy="314515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451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PingFang SC" w:hAnsi="PingFang SC" w:eastAsia="PingFang SC" w:cs="PingFang SC"/>
          <w:color w:val="5B697D"/>
          <w:sz w:val="17"/>
        </w:rPr>
        <w:t>图表来源：[7]</w:t>
      </w:r>
    </w:p>
    <w:p>
      <w:r>
        <w:rPr>
          <w:rFonts w:ascii="PingFang SC" w:hAnsi="PingFang SC" w:eastAsia="PingFang SC" w:cs="PingFang SC"/>
        </w:rPr>
        <w:br w:type="page"/>
      </w:r>
    </w:p>
    <w:p>
      <w:pPr>
        <w:pStyle w:val="Heading1"/>
        <w:keepNext/>
      </w:pPr>
      <w:r>
        <w:rPr>
          <w:rFonts w:ascii="PingFang SC" w:hAnsi="PingFang SC" w:eastAsia="PingFang SC" w:cs="PingFang SC"/>
        </w:rPr>
        <w:t>现金影响区间不可忽视[8]</w:t>
      </w:r>
    </w:p>
    <w:p>
      <w:r>
        <w:rPr>
          <w:rFonts w:ascii="PingFang SC" w:hAnsi="PingFang SC" w:eastAsia="PingFang SC" w:cs="PingFang SC"/>
        </w:rPr>
        <w:t>管理层应同时观察三种情景而非单一点值。[8]</w:t>
      </w:r>
    </w:p>
    <w:p>
      <w:pPr>
        <w:pStyle w:val="ListBullet"/>
      </w:pPr>
      <w:r>
        <w:rPr>
          <w:rFonts w:ascii="PingFang SC" w:hAnsi="PingFang SC" w:eastAsia="PingFang SC" w:cs="PingFang SC"/>
        </w:rPr>
        <w:t>全部金额均为模拟管理情景。[8]</w:t>
      </w:r>
    </w:p>
    <w:p>
      <w:pPr>
        <w:pStyle w:val="ListBullet"/>
      </w:pPr>
      <w:r>
        <w:rPr>
          <w:rFonts w:ascii="PingFang SC" w:hAnsi="PingFang SC" w:eastAsia="PingFang SC" w:cs="PingFang SC"/>
        </w:rPr>
        <w:t>情景结果不得确认为会计预计负债。[8]</w:t>
      </w:r>
    </w:p>
    <w:p>
      <w:pPr>
        <w:pStyle w:val="ListBullet"/>
      </w:pPr>
      <w:r>
        <w:rPr>
          <w:rFonts w:ascii="PingFang SC" w:hAnsi="PingFang SC" w:eastAsia="PingFang SC" w:cs="PingFang SC"/>
        </w:rPr>
        <w:t>现金流应拆分税款、证书及整改支出。[8]</w:t>
      </w:r>
    </w:p>
    <w:p>
      <w:r>
        <w:rPr>
          <w:rFonts w:ascii="PingFang SC" w:hAnsi="PingFang SC" w:eastAsia="PingFang SC" w:cs="PingFang SC"/>
        </w:rPr>
        <w:drawing>
          <wp:inline xmlns:a="http://schemas.openxmlformats.org/drawingml/2006/main" xmlns:pic="http://schemas.openxmlformats.org/drawingml/2006/picture">
            <wp:extent cx="5806440" cy="314515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451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PingFang SC" w:hAnsi="PingFang SC" w:eastAsia="PingFang SC" w:cs="PingFang SC"/>
          <w:color w:val="5B697D"/>
          <w:sz w:val="17"/>
        </w:rPr>
        <w:t>图表来源：[8]</w:t>
      </w:r>
    </w:p>
    <w:p>
      <w:r>
        <w:rPr>
          <w:rFonts w:ascii="PingFang SC" w:hAnsi="PingFang SC" w:eastAsia="PingFang SC" w:cs="PingFang SC"/>
        </w:rPr>
        <w:br w:type="page"/>
      </w:r>
    </w:p>
    <w:p>
      <w:pPr>
        <w:pStyle w:val="Heading1"/>
        <w:keepNext/>
      </w:pPr>
      <w:r>
        <w:rPr>
          <w:rFonts w:ascii="PingFang SC" w:hAnsi="PingFang SC" w:eastAsia="PingFang SC" w:cs="PingFang SC"/>
        </w:rPr>
        <w:t>下行情景放大多项成本[8]</w:t>
      </w:r>
    </w:p>
    <w:p>
      <w:r>
        <w:rPr>
          <w:rFonts w:ascii="PingFang SC" w:hAnsi="PingFang SC" w:eastAsia="PingFang SC" w:cs="PingFang SC"/>
        </w:rPr>
        <w:t>补足税和CBAM是现金波动的主要来源。[8]</w:t>
      </w:r>
    </w:p>
    <w:p>
      <w:pPr>
        <w:pStyle w:val="ListBullet"/>
      </w:pPr>
      <w:r>
        <w:rPr>
          <w:rFonts w:ascii="PingFang SC" w:hAnsi="PingFang SC" w:eastAsia="PingFang SC" w:cs="PingFang SC"/>
        </w:rPr>
        <w:t>合规与数据整改成本亦随情景变化。[8]</w:t>
      </w:r>
    </w:p>
    <w:p>
      <w:pPr>
        <w:pStyle w:val="ListBullet"/>
      </w:pPr>
      <w:r>
        <w:rPr>
          <w:rFonts w:ascii="PingFang SC" w:hAnsi="PingFang SC" w:eastAsia="PingFang SC" w:cs="PingFang SC"/>
        </w:rPr>
        <w:t>各成本须按独立口径纳入滚动预测。[8]</w:t>
      </w:r>
    </w:p>
    <w:p>
      <w:pPr>
        <w:pStyle w:val="ListBullet"/>
      </w:pPr>
      <w:r>
        <w:rPr>
          <w:rFonts w:ascii="PingFang SC" w:hAnsi="PingFang SC" w:eastAsia="PingFang SC" w:cs="PingFang SC"/>
        </w:rPr>
        <w:t>实际税负仍需按辖区规则重新计算。[1][2]</w:t>
      </w:r>
    </w:p>
    <w:p>
      <w:r>
        <w:rPr>
          <w:rFonts w:ascii="PingFang SC" w:hAnsi="PingFang SC" w:eastAsia="PingFang SC" w:cs="PingFang SC"/>
        </w:rPr>
        <w:drawing>
          <wp:inline xmlns:a="http://schemas.openxmlformats.org/drawingml/2006/main" xmlns:pic="http://schemas.openxmlformats.org/drawingml/2006/picture">
            <wp:extent cx="5806440" cy="314515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451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PingFang SC" w:hAnsi="PingFang SC" w:eastAsia="PingFang SC" w:cs="PingFang SC"/>
          <w:color w:val="5B697D"/>
          <w:sz w:val="17"/>
        </w:rPr>
        <w:t>图表来源：[8]</w:t>
      </w:r>
    </w:p>
    <w:p>
      <w:pPr>
        <w:pStyle w:val="Heading1"/>
        <w:keepNext/>
      </w:pPr>
      <w:r>
        <w:rPr>
          <w:rFonts w:ascii="PingFang SC" w:hAnsi="PingFang SC" w:eastAsia="PingFang SC" w:cs="PingFang SC"/>
        </w:rPr>
        <w:t>统一数据底座支撑五主题[9]</w:t>
      </w:r>
    </w:p>
    <w:p>
      <w:r>
        <w:rPr>
          <w:rFonts w:ascii="PingFang SC" w:hAnsi="PingFang SC" w:eastAsia="PingFang SC" w:cs="PingFang SC"/>
        </w:rPr>
        <w:t>主数据、交易数据与证据链需统一治理。[9]</w:t>
      </w:r>
    </w:p>
    <w:p>
      <w:pPr>
        <w:pStyle w:val="ListBullet"/>
      </w:pPr>
      <w:r>
        <w:rPr>
          <w:rFonts w:ascii="PingFang SC" w:hAnsi="PingFang SC" w:eastAsia="PingFang SC" w:cs="PingFang SC"/>
        </w:rPr>
        <w:t>Pillar Two需实体、税务及资产数据。[9]</w:t>
      </w:r>
    </w:p>
    <w:p>
      <w:pPr>
        <w:pStyle w:val="ListBullet"/>
      </w:pPr>
      <w:r>
        <w:rPr>
          <w:rFonts w:ascii="PingFang SC" w:hAnsi="PingFang SC" w:eastAsia="PingFang SC" w:cs="PingFang SC"/>
        </w:rPr>
        <w:t>CBAM需商品、排放和碳价凭证。[9]</w:t>
      </w:r>
    </w:p>
    <w:p>
      <w:pPr>
        <w:pStyle w:val="ListBullet"/>
      </w:pPr>
      <w:r>
        <w:rPr>
          <w:rFonts w:ascii="PingFang SC" w:hAnsi="PingFang SC" w:eastAsia="PingFang SC" w:cs="PingFang SC"/>
        </w:rPr>
        <w:t>ViDA需交易、VAT和报告状态字段。[9]</w:t>
      </w:r>
    </w:p>
    <w:p>
      <w:pPr>
        <w:pStyle w:val="Heading1"/>
        <w:keepNext/>
      </w:pPr>
      <w:r>
        <w:rPr>
          <w:rFonts w:ascii="PingFang SC" w:hAnsi="PingFang SC" w:eastAsia="PingFang SC" w:cs="PingFang SC"/>
        </w:rPr>
        <w:t>跨部门治理必须明确问责[9]</w:t>
      </w:r>
    </w:p>
    <w:p>
      <w:r>
        <w:rPr>
          <w:rFonts w:ascii="PingFang SC" w:hAnsi="PingFang SC" w:eastAsia="PingFang SC" w:cs="PingFang SC"/>
        </w:rPr>
        <w:t>税务定口径，财务校验，数据与IT保交付。[9]</w:t>
      </w:r>
    </w:p>
    <w:p>
      <w:pPr>
        <w:pStyle w:val="ListBullet"/>
      </w:pPr>
      <w:r>
        <w:rPr>
          <w:rFonts w:ascii="PingFang SC" w:hAnsi="PingFang SC" w:eastAsia="PingFang SC" w:cs="PingFang SC"/>
        </w:rPr>
        <w:t>全球税务负责人承担政策与签署责任。[9]</w:t>
      </w:r>
    </w:p>
    <w:p>
      <w:pPr>
        <w:pStyle w:val="ListBullet"/>
      </w:pPr>
      <w:r>
        <w:rPr>
          <w:rFonts w:ascii="PingFang SC" w:hAnsi="PingFang SC" w:eastAsia="PingFang SC" w:cs="PingFang SC"/>
        </w:rPr>
        <w:t>区域税务确认本地适用范围和日期。[9]</w:t>
      </w:r>
    </w:p>
    <w:p>
      <w:pPr>
        <w:pStyle w:val="ListBullet"/>
      </w:pPr>
      <w:r>
        <w:rPr>
          <w:rFonts w:ascii="PingFang SC" w:hAnsi="PingFang SC" w:eastAsia="PingFang SC" w:cs="PingFang SC"/>
        </w:rPr>
        <w:t>法务跟踪正式文本及争议风险。[4][5]</w:t>
      </w:r>
    </w:p>
    <w:p>
      <w:pPr>
        <w:pStyle w:val="Heading1"/>
        <w:keepNext/>
      </w:pPr>
      <w:r>
        <w:rPr>
          <w:rFonts w:ascii="PingFang SC" w:hAnsi="PingFang SC" w:eastAsia="PingFang SC" w:cs="PingFang SC"/>
        </w:rPr>
        <w:t>三十天锁定范围与证据[9]</w:t>
      </w:r>
    </w:p>
    <w:p>
      <w:r>
        <w:rPr>
          <w:rFonts w:ascii="PingFang SC" w:hAnsi="PingFang SC" w:eastAsia="PingFang SC" w:cs="PingFang SC"/>
        </w:rPr>
        <w:t>首月重点是登记政策、识别缺口并冻结假设。[9]</w:t>
      </w:r>
    </w:p>
    <w:p>
      <w:pPr>
        <w:pStyle w:val="ListBullet"/>
      </w:pPr>
      <w:r>
        <w:rPr>
          <w:rFonts w:ascii="PingFang SC" w:hAnsi="PingFang SC" w:eastAsia="PingFang SC" w:cs="PingFang SC"/>
        </w:rPr>
        <w:t>建立五主题政策及官方来源登记册。[1][2][3][4][5]</w:t>
      </w:r>
    </w:p>
    <w:p>
      <w:pPr>
        <w:pStyle w:val="ListBullet"/>
      </w:pPr>
      <w:r>
        <w:rPr>
          <w:rFonts w:ascii="PingFang SC" w:hAnsi="PingFang SC" w:eastAsia="PingFang SC" w:cs="PingFang SC"/>
        </w:rPr>
        <w:t>盘点四家高优先实体的数据缺口。[7]</w:t>
      </w:r>
    </w:p>
    <w:p>
      <w:pPr>
        <w:pStyle w:val="ListBullet"/>
      </w:pPr>
      <w:r>
        <w:rPr>
          <w:rFonts w:ascii="PingFang SC" w:hAnsi="PingFang SC" w:eastAsia="PingFang SC" w:cs="PingFang SC"/>
        </w:rPr>
        <w:t>补齐美国条款依据并锁定情景版本。[4][8]</w:t>
      </w:r>
    </w:p>
    <w:p>
      <w:pPr>
        <w:pStyle w:val="Heading1"/>
        <w:keepNext/>
      </w:pPr>
      <w:r>
        <w:rPr>
          <w:rFonts w:ascii="PingFang SC" w:hAnsi="PingFang SC" w:eastAsia="PingFang SC" w:cs="PingFang SC"/>
        </w:rPr>
        <w:t>六十天完成端到端演练[9]</w:t>
      </w:r>
    </w:p>
    <w:p>
      <w:r>
        <w:rPr>
          <w:rFonts w:ascii="PingFang SC" w:hAnsi="PingFang SC" w:eastAsia="PingFang SC" w:cs="PingFang SC"/>
        </w:rPr>
        <w:t>第二阶段验证计算、申报及数据接口可用性。[9]</w:t>
      </w:r>
    </w:p>
    <w:p>
      <w:pPr>
        <w:pStyle w:val="ListBullet"/>
      </w:pPr>
      <w:r>
        <w:rPr>
          <w:rFonts w:ascii="PingFang SC" w:hAnsi="PingFang SC" w:eastAsia="PingFang SC" w:cs="PingFang SC"/>
        </w:rPr>
        <w:t>完成GIR字段映射与集中申报演练。[1]</w:t>
      </w:r>
    </w:p>
    <w:p>
      <w:pPr>
        <w:pStyle w:val="ListBullet"/>
      </w:pPr>
      <w:r>
        <w:rPr>
          <w:rFonts w:ascii="PingFang SC" w:hAnsi="PingFang SC" w:eastAsia="PingFang SC" w:cs="PingFang SC"/>
        </w:rPr>
        <w:t>测试三家CBAM高暴露实体凭证链。[2][7]</w:t>
      </w:r>
    </w:p>
    <w:p>
      <w:pPr>
        <w:pStyle w:val="ListBullet"/>
      </w:pPr>
      <w:r>
        <w:rPr>
          <w:rFonts w:ascii="PingFang SC" w:hAnsi="PingFang SC" w:eastAsia="PingFang SC" w:cs="PingFang SC"/>
        </w:rPr>
        <w:t>完成欧盟三实体电子发票差距分析。[3][7]</w:t>
      </w:r>
    </w:p>
    <w:p>
      <w:pPr>
        <w:pStyle w:val="Heading1"/>
        <w:keepNext/>
      </w:pPr>
      <w:r>
        <w:rPr>
          <w:rFonts w:ascii="PingFang SC" w:hAnsi="PingFang SC" w:eastAsia="PingFang SC" w:cs="PingFang SC"/>
        </w:rPr>
        <w:t>九十天固化控制与报告[9]</w:t>
      </w:r>
    </w:p>
    <w:p>
      <w:r>
        <w:rPr>
          <w:rFonts w:ascii="PingFang SC" w:hAnsi="PingFang SC" w:eastAsia="PingFang SC" w:cs="PingFang SC"/>
        </w:rPr>
        <w:t>第三阶段形成证据包、签字控制和治理报告。[9]</w:t>
      </w:r>
    </w:p>
    <w:p>
      <w:pPr>
        <w:pStyle w:val="ListBullet"/>
      </w:pPr>
      <w:r>
        <w:rPr>
          <w:rFonts w:ascii="PingFang SC" w:hAnsi="PingFang SC" w:eastAsia="PingFang SC" w:cs="PingFang SC"/>
        </w:rPr>
        <w:t>高优先实体接受内部审计抽样。[9]</w:t>
      </w:r>
    </w:p>
    <w:p>
      <w:pPr>
        <w:pStyle w:val="ListBullet"/>
      </w:pPr>
      <w:r>
        <w:rPr>
          <w:rFonts w:ascii="PingFang SC" w:hAnsi="PingFang SC" w:eastAsia="PingFang SC" w:cs="PingFang SC"/>
        </w:rPr>
        <w:t>现金情景纳入税务与司库滚动预测。[8]</w:t>
      </w:r>
    </w:p>
    <w:p>
      <w:pPr>
        <w:pStyle w:val="ListBullet"/>
      </w:pPr>
      <w:r>
        <w:rPr>
          <w:rFonts w:ascii="PingFang SC" w:hAnsi="PingFang SC" w:eastAsia="PingFang SC" w:cs="PingFang SC"/>
        </w:rPr>
        <w:t>治理委员会审议缺口、依赖和预算。[9]</w:t>
      </w:r>
    </w:p>
    <w:p>
      <w:pPr>
        <w:pStyle w:val="Heading1"/>
        <w:keepNext/>
      </w:pPr>
      <w:r>
        <w:rPr>
          <w:rFonts w:ascii="PingFang SC" w:hAnsi="PingFang SC" w:eastAsia="PingFang SC" w:cs="PingFang SC"/>
        </w:rPr>
        <w:t>官方政策来源附录[1]</w:t>
      </w:r>
    </w:p>
    <w:p>
      <w:r>
        <w:rPr>
          <w:rFonts w:ascii="PingFang SC" w:hAnsi="PingFang SC" w:eastAsia="PingFang SC" w:cs="PingFang SC"/>
        </w:rPr>
        <w:t>正式结论应回溯至适用机构发布文件。[9]</w:t>
      </w:r>
    </w:p>
    <w:p>
      <w:pPr>
        <w:pStyle w:val="ListBullet"/>
      </w:pPr>
      <w:r>
        <w:rPr>
          <w:rFonts w:ascii="PingFang SC" w:hAnsi="PingFang SC" w:eastAsia="PingFang SC" w:cs="PingFang SC"/>
        </w:rPr>
        <w:t>[1] OECD. Global Minimum Tax[EB/OL].</w:t>
      </w:r>
    </w:p>
    <w:p>
      <w:pPr>
        <w:pStyle w:val="ListBullet"/>
      </w:pPr>
      <w:r>
        <w:rPr>
          <w:rFonts w:ascii="PingFang SC" w:hAnsi="PingFang SC" w:eastAsia="PingFang SC" w:cs="PingFang SC"/>
        </w:rPr>
        <w:t>[2] EC. CBAM Definitive Regime[EB/OL].</w:t>
      </w:r>
    </w:p>
    <w:p>
      <w:pPr>
        <w:pStyle w:val="ListBullet"/>
      </w:pPr>
      <w:r>
        <w:rPr>
          <w:rFonts w:ascii="PingFang SC" w:hAnsi="PingFang SC" w:eastAsia="PingFang SC" w:cs="PingFang SC"/>
        </w:rPr>
        <w:t>[3] EC. ViDA 2026 Work Programme[EB/OL].</w:t>
      </w:r>
    </w:p>
    <w:p>
      <w:pPr>
        <w:pStyle w:val="Heading1"/>
        <w:keepNext/>
      </w:pPr>
      <w:r>
        <w:rPr>
          <w:rFonts w:ascii="PingFang SC" w:hAnsi="PingFang SC" w:eastAsia="PingFang SC" w:cs="PingFang SC"/>
        </w:rPr>
        <w:t>数据与方法来源附录[4]</w:t>
      </w:r>
    </w:p>
    <w:p>
      <w:r>
        <w:rPr>
          <w:rFonts w:ascii="PingFang SC" w:hAnsi="PingFang SC" w:eastAsia="PingFang SC" w:cs="PingFang SC"/>
        </w:rPr>
        <w:t>模拟数据与运营方法不得替代法律依据。[8][9]</w:t>
      </w:r>
    </w:p>
    <w:p>
      <w:pPr>
        <w:pStyle w:val="ListBullet"/>
      </w:pPr>
      <w:r>
        <w:rPr>
          <w:rFonts w:ascii="PingFang SC" w:hAnsi="PingFang SC" w:eastAsia="PingFang SC" w:cs="PingFang SC"/>
        </w:rPr>
        <w:t>[4] IRS. Form 8991 Instructions[EB/OL].</w:t>
      </w:r>
    </w:p>
    <w:p>
      <w:pPr>
        <w:pStyle w:val="ListBullet"/>
      </w:pPr>
      <w:r>
        <w:rPr>
          <w:rFonts w:ascii="PingFang SC" w:hAnsi="PingFang SC" w:eastAsia="PingFang SC" w:cs="PingFang SC"/>
        </w:rPr>
        <w:t>[5] UN. Tax Cooperation Convention[EB/OL].</w:t>
      </w:r>
    </w:p>
    <w:p>
      <w:pPr>
        <w:pStyle w:val="ListBullet"/>
      </w:pPr>
      <w:r>
        <w:rPr>
          <w:rFonts w:ascii="PingFang SC" w:hAnsi="PingFang SC" w:eastAsia="PingFang SC" w:cs="PingFang SC"/>
        </w:rPr>
        <w:t>[6] 政策事件清单：T001—T007[DB].</w:t>
      </w:r>
    </w:p>
    <w:p>
      <w:pPr>
        <w:pStyle w:val="Heading1"/>
        <w:keepNext/>
      </w:pPr>
      <w:r>
        <w:rPr>
          <w:rFonts w:ascii="PingFang SC" w:hAnsi="PingFang SC" w:eastAsia="PingFang SC" w:cs="PingFang SC"/>
        </w:rPr>
        <w:t>模拟资料与责任声明[7]</w:t>
      </w:r>
    </w:p>
    <w:p>
      <w:r>
        <w:rPr>
          <w:rFonts w:ascii="PingFang SC" w:hAnsi="PingFang SC" w:eastAsia="PingFang SC" w:cs="PingFang SC"/>
        </w:rPr>
        <w:t>本报告用于管理决策，不构成税务或法律意见。[9]</w:t>
      </w:r>
    </w:p>
    <w:p>
      <w:pPr>
        <w:pStyle w:val="ListBullet"/>
      </w:pPr>
      <w:r>
        <w:rPr>
          <w:rFonts w:ascii="PingFang SC" w:hAnsi="PingFang SC" w:eastAsia="PingFang SC" w:cs="PingFang SC"/>
        </w:rPr>
        <w:t>[7] 模拟实体与区域暴露数据[DB].</w:t>
      </w:r>
    </w:p>
    <w:p>
      <w:pPr>
        <w:pStyle w:val="ListBullet"/>
      </w:pPr>
      <w:r>
        <w:rPr>
          <w:rFonts w:ascii="PingFang SC" w:hAnsi="PingFang SC" w:eastAsia="PingFang SC" w:cs="PingFang SC"/>
        </w:rPr>
        <w:t>[8] 模拟现金影响情景数据[DB].</w:t>
      </w:r>
    </w:p>
    <w:p>
      <w:pPr>
        <w:pStyle w:val="ListBullet"/>
      </w:pPr>
      <w:r>
        <w:rPr>
          <w:rFonts w:ascii="PingFang SC" w:hAnsi="PingFang SC" w:eastAsia="PingFang SC" w:cs="PingFang SC"/>
        </w:rPr>
        <w:t>[9] 2026税务运营手册[Z].</w:t>
      </w:r>
    </w:p>
    <w:p>
      <w:r>
        <w:rPr>
          <w:rFonts w:ascii="PingFang SC" w:hAnsi="PingFang SC" w:eastAsia="PingFang SC" w:cs="PingFang SC"/>
        </w:rPr>
        <w:br w:type="page"/>
      </w:r>
    </w:p>
    <w:p>
      <w:pPr>
        <w:pStyle w:val="Heading1"/>
      </w:pPr>
      <w:r>
        <w:rPr>
          <w:rFonts w:ascii="PingFang SC" w:hAnsi="PingFang SC" w:eastAsia="PingFang SC" w:cs="PingFang SC"/>
        </w:rPr>
        <w:t>参考文献</w:t>
      </w:r>
    </w:p>
    <w:p>
      <w:pPr>
        <w:ind w:left="360" w:hanging="360"/>
      </w:pPr>
      <w:r>
        <w:rPr>
          <w:rFonts w:ascii="PingFang SC" w:hAnsi="PingFang SC" w:eastAsia="PingFang SC" w:cs="PingFang SC"/>
          <w:color w:val="475569"/>
          <w:sz w:val="18"/>
        </w:rPr>
        <w:t>[1] tax_policy_events.csv[EB/OL]. type table, rows 1:8, char_start 0, char_end 1062</w:t>
      </w:r>
    </w:p>
    <w:p>
      <w:pPr>
        <w:ind w:left="360" w:hanging="360"/>
      </w:pPr>
      <w:r>
        <w:rPr>
          <w:rFonts w:ascii="PingFang SC" w:hAnsi="PingFang SC" w:eastAsia="PingFang SC" w:cs="PingFang SC"/>
          <w:color w:val="475569"/>
          <w:sz w:val="18"/>
        </w:rPr>
        <w:t>[2] jurisdiction_readiness.csv[EB/OL]. type table, rows 1:7, char_start 0, char_end 452</w:t>
      </w:r>
    </w:p>
    <w:p>
      <w:pPr>
        <w:ind w:left="360" w:hanging="360"/>
      </w:pPr>
      <w:r>
        <w:rPr>
          <w:rFonts w:ascii="PingFang SC" w:hAnsi="PingFang SC" w:eastAsia="PingFang SC" w:cs="PingFang SC"/>
          <w:color w:val="475569"/>
          <w:sz w:val="18"/>
        </w:rPr>
        <w:t>[3] tax_scenario_assumptions.csv[EB/OL]. type table, rows 1:4, char_start 0, char_end 330</w:t>
      </w:r>
    </w:p>
    <w:p>
      <w:pPr>
        <w:ind w:left="360" w:hanging="360"/>
      </w:pPr>
      <w:r>
        <w:rPr>
          <w:rFonts w:ascii="PingFang SC" w:hAnsi="PingFang SC" w:eastAsia="PingFang SC" w:cs="PingFang SC"/>
          <w:color w:val="475569"/>
          <w:sz w:val="18"/>
        </w:rPr>
        <w:t>[4] tax_analysis_policy.md[EB/OL]. type text, start 0, char_start 0, char_end 209</w:t>
      </w:r>
    </w:p>
    <w:p>
      <w:pPr>
        <w:ind w:left="360" w:hanging="360"/>
      </w:pPr>
      <w:r>
        <w:rPr>
          <w:rFonts w:ascii="PingFang SC" w:hAnsi="PingFang SC" w:eastAsia="PingFang SC" w:cs="PingFang SC"/>
          <w:color w:val="475569"/>
          <w:sz w:val="18"/>
        </w:rPr>
        <w:t>[5] 2026全球税务政策趋势简报.pdf[EB/OL]. type pdf, p. 1, char_start 0, char_end 416</w:t>
      </w:r>
    </w:p>
    <w:p>
      <w:pPr>
        <w:ind w:left="360" w:hanging="360"/>
      </w:pPr>
      <w:r>
        <w:rPr>
          <w:rFonts w:ascii="PingFang SC" w:hAnsi="PingFang SC" w:eastAsia="PingFang SC" w:cs="PingFang SC"/>
          <w:color w:val="475569"/>
          <w:sz w:val="18"/>
        </w:rPr>
        <w:t>[6] 2026全球税务政策趋势简报.pdf[EB/OL]. type pdf, p. 2, char_start 0, char_end 672</w:t>
      </w:r>
    </w:p>
    <w:p>
      <w:pPr>
        <w:ind w:left="360" w:hanging="360"/>
      </w:pPr>
      <w:r>
        <w:rPr>
          <w:rFonts w:ascii="PingFang SC" w:hAnsi="PingFang SC" w:eastAsia="PingFang SC" w:cs="PingFang SC"/>
          <w:color w:val="475569"/>
          <w:sz w:val="18"/>
        </w:rPr>
        <w:t>[7] 全球税务项目实施手册_模拟.docx[EB/OL]. type word, para. 1, char_start 0, char_end 29</w:t>
      </w:r>
    </w:p>
    <w:p>
      <w:pPr>
        <w:ind w:left="360" w:hanging="360"/>
      </w:pPr>
      <w:r>
        <w:rPr>
          <w:rFonts w:ascii="PingFang SC" w:hAnsi="PingFang SC" w:eastAsia="PingFang SC" w:cs="PingFang SC"/>
          <w:color w:val="475569"/>
          <w:sz w:val="18"/>
        </w:rPr>
        <w:t>[8] 全球税务项目实施手册_模拟.docx[EB/OL]. type word, para. 2, char_start 0, char_end 34</w:t>
      </w:r>
    </w:p>
    <w:p>
      <w:pPr>
        <w:ind w:left="360" w:hanging="360"/>
      </w:pPr>
      <w:r>
        <w:rPr>
          <w:rFonts w:ascii="PingFang SC" w:hAnsi="PingFang SC" w:eastAsia="PingFang SC" w:cs="PingFang SC"/>
          <w:color w:val="475569"/>
          <w:sz w:val="18"/>
        </w:rPr>
        <w:t>[9] 全球税务项目实施手册_模拟.docx[EB/OL]. type word, para. 3, char_start 0, char_end 74</w:t>
      </w:r>
    </w:p>
    <w:p>
      <w:pPr>
        <w:ind w:left="360" w:hanging="360"/>
      </w:pPr>
      <w:r>
        <w:rPr>
          <w:rFonts w:ascii="PingFang SC" w:hAnsi="PingFang SC" w:eastAsia="PingFang SC" w:cs="PingFang SC"/>
          <w:color w:val="475569"/>
          <w:sz w:val="18"/>
        </w:rPr>
        <w:t>[10] 全球税务项目实施手册_模拟.docx[EB/OL]. type word, para. 4, char_start 0, char_end 71</w:t>
      </w:r>
    </w:p>
    <w:p>
      <w:pPr>
        <w:ind w:left="360" w:hanging="360"/>
      </w:pPr>
      <w:r>
        <w:rPr>
          <w:rFonts w:ascii="PingFang SC" w:hAnsi="PingFang SC" w:eastAsia="PingFang SC" w:cs="PingFang SC"/>
          <w:color w:val="475569"/>
          <w:sz w:val="18"/>
        </w:rPr>
        <w:t>[11] 全球税务项目实施手册_模拟.docx[EB/OL]. type word, para. 5, char_start 0, char_end 51</w:t>
      </w:r>
    </w:p>
    <w:p>
      <w:pPr>
        <w:ind w:left="360" w:hanging="360"/>
      </w:pPr>
      <w:r>
        <w:rPr>
          <w:rFonts w:ascii="PingFang SC" w:hAnsi="PingFang SC" w:eastAsia="PingFang SC" w:cs="PingFang SC"/>
          <w:color w:val="475569"/>
          <w:sz w:val="18"/>
        </w:rPr>
        <w:t>[12] 全球税务项目实施手册_模拟.docx[EB/OL]. type word, para. 6, char_start 0, char_end 54</w:t>
      </w:r>
    </w:p>
    <w:p>
      <w:pPr>
        <w:ind w:left="360" w:hanging="360"/>
      </w:pPr>
      <w:r>
        <w:rPr>
          <w:rFonts w:ascii="PingFang SC" w:hAnsi="PingFang SC" w:eastAsia="PingFang SC" w:cs="PingFang SC"/>
          <w:color w:val="475569"/>
          <w:sz w:val="18"/>
        </w:rPr>
        <w:t>[13] 全球税务项目实施手册_模拟.docx[EB/OL]. type word, para. 8, char_start 0, char_end 27</w:t>
      </w:r>
    </w:p>
    <w:p>
      <w:pPr>
        <w:ind w:left="360" w:hanging="360"/>
      </w:pPr>
      <w:r>
        <w:rPr>
          <w:rFonts w:ascii="PingFang SC" w:hAnsi="PingFang SC" w:eastAsia="PingFang SC" w:cs="PingFang SC"/>
          <w:color w:val="475569"/>
          <w:sz w:val="18"/>
        </w:rPr>
        <w:t>[14] 全球税务项目实施手册_模拟.docx[EB/OL]. type word, para. 10, char_start 0, char_end 16</w:t>
      </w:r>
    </w:p>
    <w:p>
      <w:pPr>
        <w:ind w:left="360" w:hanging="360"/>
      </w:pPr>
      <w:r>
        <w:rPr>
          <w:rFonts w:ascii="PingFang SC" w:hAnsi="PingFang SC" w:eastAsia="PingFang SC" w:cs="PingFang SC"/>
          <w:color w:val="475569"/>
          <w:sz w:val="18"/>
        </w:rPr>
        <w:t>[15] 全球税务项目实施手册_模拟.docx[EB/OL]. type word, para. 11, char_start 0, char_end 86</w:t>
      </w:r>
    </w:p>
    <w:p>
      <w:pPr>
        <w:ind w:left="360" w:hanging="360"/>
      </w:pPr>
      <w:r>
        <w:rPr>
          <w:rFonts w:ascii="PingFang SC" w:hAnsi="PingFang SC" w:eastAsia="PingFang SC" w:cs="PingFang SC"/>
          <w:color w:val="475569"/>
          <w:sz w:val="18"/>
        </w:rPr>
        <w:t>[16] 全球税务项目实施手册_模拟.docx[EB/OL]. type word, para. 12, char_start 0, char_end 84</w:t>
      </w:r>
    </w:p>
    <w:p>
      <w:pPr>
        <w:ind w:left="360" w:hanging="360"/>
      </w:pPr>
      <w:r>
        <w:rPr>
          <w:rFonts w:ascii="PingFang SC" w:hAnsi="PingFang SC" w:eastAsia="PingFang SC" w:cs="PingFang SC"/>
          <w:color w:val="475569"/>
          <w:sz w:val="18"/>
        </w:rPr>
        <w:t>[17] 全球税务项目实施手册_模拟.docx[EB/OL]. type word, para. 13, char_start 0, char_end 82</w:t>
      </w:r>
    </w:p>
    <w:p>
      <w:pPr>
        <w:ind w:left="360" w:hanging="360"/>
      </w:pPr>
      <w:r>
        <w:rPr>
          <w:rFonts w:ascii="PingFang SC" w:hAnsi="PingFang SC" w:eastAsia="PingFang SC" w:cs="PingFang SC"/>
          <w:color w:val="475569"/>
          <w:sz w:val="18"/>
        </w:rPr>
        <w:t>[18] 全球税务项目实施手册_模拟.docx[EB/OL]. type word, para. 14, char_start 0, char_end 18</w:t>
      </w:r>
    </w:p>
    <w:p>
      <w:pPr>
        <w:ind w:left="360" w:hanging="360"/>
      </w:pPr>
      <w:r>
        <w:rPr>
          <w:rFonts w:ascii="PingFang SC" w:hAnsi="PingFang SC" w:eastAsia="PingFang SC" w:cs="PingFang SC"/>
          <w:color w:val="475569"/>
          <w:sz w:val="18"/>
        </w:rPr>
        <w:t>[19] 全球税务项目实施手册_模拟.docx[EB/OL]. type word, para. 15, char_start 0, char_end 178</w:t>
      </w:r>
    </w:p>
    <w:p>
      <w:pPr>
        <w:ind w:left="360" w:hanging="360"/>
      </w:pPr>
      <w:r>
        <w:rPr>
          <w:rFonts w:ascii="PingFang SC" w:hAnsi="PingFang SC" w:eastAsia="PingFang SC" w:cs="PingFang SC"/>
          <w:color w:val="475569"/>
          <w:sz w:val="18"/>
        </w:rPr>
        <w:t>[20] 全球税务项目实施手册_模拟.docx[EB/OL]. type word_table, table 1, char_start 0, char_end 288</w:t>
      </w:r>
    </w:p>
    <w:p>
      <w:pPr>
        <w:ind w:left="360" w:hanging="360"/>
      </w:pPr>
      <w:r>
        <w:rPr>
          <w:rFonts w:ascii="PingFang SC" w:hAnsi="PingFang SC" w:eastAsia="PingFang SC" w:cs="PingFang SC"/>
          <w:color w:val="475569"/>
          <w:sz w:val="18"/>
        </w:rPr>
        <w:t>[21] OECD 全球最低税实施中央记录[EB/OL]. https://www.oecd.org/en/topics/sub-issues/global-minimum-tax/central-record-of-legislation-with-transitional-qualified-status.html</w:t>
      </w:r>
    </w:p>
    <w:p>
      <w:pPr>
        <w:ind w:left="360" w:hanging="360"/>
      </w:pPr>
      <w:r>
        <w:rPr>
          <w:rFonts w:ascii="PingFang SC" w:hAnsi="PingFang SC" w:eastAsia="PingFang SC" w:cs="PingFang SC"/>
          <w:color w:val="475569"/>
          <w:sz w:val="18"/>
        </w:rPr>
        <w:t>[22] 欧盟碳边境调节机制正式阶段[EB/OL]. https://taxation-customs.ec.europa.eu/carbon-border-adjustment-mechanism/cbam-definitive-regime_en</w:t>
      </w:r>
    </w:p>
    <w:p>
      <w:pPr>
        <w:ind w:left="360" w:hanging="360"/>
      </w:pPr>
      <w:r>
        <w:rPr>
          <w:rFonts w:ascii="PingFang SC" w:hAnsi="PingFang SC" w:eastAsia="PingFang SC" w:cs="PingFang SC"/>
          <w:color w:val="475569"/>
          <w:sz w:val="18"/>
        </w:rPr>
        <w:t>[23] 欧盟增值税数字化时代计划（ViDA）[EB/OL]. https://taxation-customs.ec.europa.eu/taxation/vat/vat-digital-age-vida_en</w:t>
      </w:r>
    </w:p>
    <w:p>
      <w:pPr>
        <w:ind w:left="360" w:hanging="360"/>
      </w:pPr>
      <w:r>
        <w:rPr>
          <w:rFonts w:ascii="PingFang SC" w:hAnsi="PingFang SC" w:eastAsia="PingFang SC" w:cs="PingFang SC"/>
          <w:color w:val="475569"/>
          <w:sz w:val="18"/>
        </w:rPr>
        <w:t>[24] IRS Form 8991 与 BEAT 指引[EB/OL]. https://www.irs.gov/forms-pubs/about-form-8991</w:t>
      </w:r>
    </w:p>
    <w:p>
      <w:pPr>
        <w:ind w:left="360" w:hanging="360"/>
      </w:pPr>
      <w:r>
        <w:rPr>
          <w:rFonts w:ascii="PingFang SC" w:hAnsi="PingFang SC" w:eastAsia="PingFang SC" w:cs="PingFang SC"/>
          <w:color w:val="475569"/>
          <w:sz w:val="18"/>
        </w:rPr>
        <w:t>[25] 联合国国际税收合作框架公约谈判[EB/OL]. https://financing.desa.un.org/inc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PingFang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PingFang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PingFang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