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SC" w:hAnsi="PingFang SC" w:eastAsia="PingFang SC" w:cs="PingFang SC"/>
          <w:color w:val="1F2937"/>
        </w:rPr>
        <w:t>NVIDIA FY2022-FY2026 经营分析报告</w:t>
      </w:r>
    </w:p>
    <w:p>
      <w:r>
        <w:rPr>
          <w:rFonts w:ascii="PingFang SC" w:hAnsi="PingFang SC" w:eastAsia="PingFang SC" w:cs="PingFang SC"/>
          <w:color w:val="5B697D"/>
        </w:rPr>
        <w:t>可编辑研究稿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AI增长强劲但交付质量成焦点</w:t>
      </w:r>
    </w:p>
    <w:p>
      <w:r>
        <w:rPr>
          <w:rFonts w:ascii="PingFang SC" w:hAnsi="PingFang SC" w:eastAsia="PingFang SC" w:cs="PingFang SC"/>
        </w:rPr>
        <w:t>增长获利润与现金流支持，库存与毛利压力上升。[1]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FY2023为五年盈利与现金流低点。[1]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FY2026收入增至215,938百万美元。[1]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研究重点转向交付、盈利与现金转化。[1]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统一口径是判断增长质量的前提</w:t>
      </w:r>
    </w:p>
    <w:p>
      <w:r>
        <w:rPr>
          <w:rFonts w:ascii="PingFang SC" w:hAnsi="PingFang SC" w:eastAsia="PingFang SC" w:cs="PingFang SC"/>
        </w:rPr>
        <w:t>年度数据可用于趋势，演示数据仅作方向观察。[1][2]</w:t>
      </w:r>
    </w:p>
    <w:p>
      <w:pPr>
        <w:pStyle w:val="ListBullet"/>
      </w:pPr>
      <w:r>
        <w:rPr>
          <w:rFonts w:ascii="PingFang SC" w:hAnsi="PingFang SC" w:eastAsia="PingFang SC" w:cs="PingFang SC"/>
        </w:rPr>
        <w:t>金额均为百万美元，按公司财年比较。[1]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公开事实尚未独立核验原始文件。[4]</w:t>
      </w:r>
    </w:p>
    <w:p>
      <w:pPr>
        <w:pStyle w:val="ListBullet"/>
      </w:pPr>
      <w:r>
        <w:rPr>
          <w:rFonts w:ascii="PingFang SC" w:hAnsi="PingFang SC" w:eastAsia="PingFang SC" w:cs="PingFang SC"/>
        </w:rPr>
        <w:t>判断不等同于公司指引或投资建议。[5]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FY2024开启新一轮增长周期</w:t>
      </w:r>
    </w:p>
    <w:p>
      <w:r>
        <w:rPr>
          <w:rFonts w:ascii="PingFang SC" w:hAnsi="PingFang SC" w:eastAsia="PingFang SC" w:cs="PingFang SC"/>
        </w:rPr>
        <w:t>收入自FY2024跃升，FY2026仍保持高增长。[1]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FY2022至FY2023收入基本持平。[1]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FY2024是AI需求驱动的增长起点。[1]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高基数下FY2026增速自然回落。[1]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图表来源：[1]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规模效应推动利润大幅释放</w:t>
      </w:r>
    </w:p>
    <w:p>
      <w:r>
        <w:rPr>
          <w:rFonts w:ascii="PingFang SC" w:hAnsi="PingFang SC" w:eastAsia="PingFang SC" w:cs="PingFang SC"/>
        </w:rPr>
        <w:t>FY2023盈利触底，随后利润随收入加速扩张。[1]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FY2023利润降幅远大于收入变化。[1]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FY2024至FY2025规模效应最显著。[1]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FY2026利润增长仍获收入扩张支撑。[1]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图表来源：[1]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毛利率修复后出现回落信号</w:t>
      </w:r>
    </w:p>
    <w:p>
      <w:r>
        <w:rPr>
          <w:rFonts w:ascii="PingFang SC" w:hAnsi="PingFang SC" w:eastAsia="PingFang SC" w:cs="PingFang SC"/>
        </w:rPr>
        <w:t>FY2026毛利率降至71.1%，单位盈利承压。[1]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FY2023毛利率降至56.9%。[1]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FY2025毛利率升至五年高点75.0%。[1]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产品过渡等因素贡献尚无法量化。[1][5]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图表来源：[1]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现金增长强劲但转化效率下降</w:t>
      </w:r>
    </w:p>
    <w:p>
      <w:r>
        <w:rPr>
          <w:rFonts w:ascii="PingFang SC" w:hAnsi="PingFang SC" w:eastAsia="PingFang SC" w:cs="PingFang SC"/>
        </w:rPr>
        <w:t>经营现金流创新高，现金转化率连续回落。[1]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FY2026经营现金流为102,718百万美元。[1]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FY2024后现金流与利润方向一致。[1]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需拆解库存、应收及供应预付款影响。[1][5]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图表来源：[1]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季度收入动能伴随利润率波动</w:t>
      </w:r>
    </w:p>
    <w:p>
      <w:r>
        <w:rPr>
          <w:rFonts w:ascii="PingFang SC" w:hAnsi="PingFang SC" w:eastAsia="PingFang SC" w:cs="PingFang SC"/>
        </w:rPr>
        <w:t>演示路径显示收入上行，毛利率先降后修复。[2]</w:t>
      </w:r>
    </w:p>
    <w:p>
      <w:pPr>
        <w:pStyle w:val="ListBullet"/>
      </w:pPr>
      <w:r>
        <w:rPr>
          <w:rFonts w:ascii="PingFang SC" w:hAnsi="PingFang SC" w:eastAsia="PingFang SC" w:cs="PingFang SC"/>
        </w:rPr>
        <w:t>季度数据均为演示或待复核口径。[2]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FY2026-Q1毛利率演示值为60.5%。[2]</w:t>
      </w:r>
    </w:p>
    <w:p>
      <w:pPr>
        <w:pStyle w:val="ListBullet"/>
      </w:pPr>
      <w:r>
        <w:rPr>
          <w:rFonts w:ascii="PingFang SC" w:hAnsi="PingFang SC" w:eastAsia="PingFang SC" w:cs="PingFang SC"/>
        </w:rPr>
        <w:t>该路径不得用于正式归因或估值。[2]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图表来源：[2]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数据中心已主导业务结构</w:t>
      </w:r>
    </w:p>
    <w:p>
      <w:r>
        <w:rPr>
          <w:rFonts w:ascii="PingFang SC" w:hAnsi="PingFang SC" w:eastAsia="PingFang SC" w:cs="PingFang SC"/>
        </w:rPr>
        <w:t>数据中心占比升至89.61%，集中度显著提高。[1][3]</w:t>
      </w:r>
    </w:p>
    <w:p>
      <w:pPr>
        <w:pStyle w:val="ListBullet"/>
      </w:pPr>
      <w:r>
        <w:rPr>
          <w:rFonts w:ascii="PingFang SC" w:hAnsi="PingFang SC" w:eastAsia="PingFang SC" w:cs="PingFang SC"/>
        </w:rPr>
        <w:t>数据中心收入五年持续快速增长。[1]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业务重心转向计算、网络及数据中心。[3]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FY2026细分口径仍需回原始披露复核。[3][4]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图表来源：[1]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研发扩张体现创新资本持续投入</w:t>
      </w:r>
    </w:p>
    <w:p>
      <w:r>
        <w:rPr>
          <w:rFonts w:ascii="PingFang SC" w:hAnsi="PingFang SC" w:eastAsia="PingFang SC" w:cs="PingFang SC"/>
        </w:rPr>
        <w:t>研发绝对额增长，费用率因收入扩张而下降。[1]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研发费用由5,268增至18,497百万美元。[1]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FY2023研发费用率升至27.21%。[1]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费用率下降不代表研发投入削减。[1]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图表来源：[1]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库存增速已超过收入增速</w:t>
      </w:r>
    </w:p>
    <w:p>
      <w:r>
        <w:rPr>
          <w:rFonts w:ascii="PingFang SC" w:hAnsi="PingFang SC" w:eastAsia="PingFang SC" w:cs="PingFang SC"/>
        </w:rPr>
        <w:t>FY2026库存扩张加大过渡与现金占用风险。[1][5]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FY2023库存同比增长98.04%。[1]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FY2026库存增至21,403百万美元。[1]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需按产品代际、库龄和形态进一步拆分。[5]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图表来源：[1]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集中与监管风险制约增长兑现</w:t>
      </w:r>
    </w:p>
    <w:p>
      <w:r>
        <w:rPr>
          <w:rFonts w:ascii="PingFang SC" w:hAnsi="PingFang SC" w:eastAsia="PingFang SC" w:cs="PingFang SC"/>
        </w:rPr>
        <w:t>客户、出口与供应承诺风险均缺少量化暴露。[5]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材料仅提示客户集中，未披露具体占比。[5]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出口管制可能影响销售范围及库存价值。[5]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采购承诺偏差阈值为10%。[5]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利润与营运资本桥应优先建立</w:t>
      </w:r>
    </w:p>
    <w:p>
      <w:r>
        <w:rPr>
          <w:rFonts w:ascii="PingFang SC" w:hAnsi="PingFang SC" w:eastAsia="PingFang SC" w:cs="PingFang SC"/>
        </w:rPr>
        <w:t>量化增长到毛利、利润与现金的传导路径。[1][5]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利润桥覆盖价格、组合及供应成本。[5]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营运资本桥重点解释现金转化率下降。[1][5]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库存按新旧代及受限产品分别管理。[5]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关键指标形成分层预警机制</w:t>
      </w:r>
    </w:p>
    <w:p>
      <w:r>
        <w:rPr>
          <w:rFonts w:ascii="PingFang SC" w:hAnsi="PingFang SC" w:eastAsia="PingFang SC" w:cs="PingFang SC"/>
        </w:rPr>
        <w:t>月度与季度监测应覆盖交付、盈利和集中风险。[5]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毛利率70%作为季度预警线。[5]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客户收入占比超过10%触发关注。[5]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产品结构异常变化实施月度监测。[5]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勾稽差异限制季度数据用途</w:t>
      </w:r>
    </w:p>
    <w:p>
      <w:r>
        <w:rPr>
          <w:rFonts w:ascii="PingFang SC" w:hAnsi="PingFang SC" w:eastAsia="PingFang SC" w:cs="PingFang SC"/>
        </w:rPr>
        <w:t>年度与季度演示表存在多项差异，禁止混用。[1][2]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FY2026现金流差异为18,682百万美元。[1][2]</w:t>
      </w:r>
    </w:p>
    <w:p>
      <w:pPr>
        <w:pStyle w:val="ListBullet"/>
      </w:pPr>
      <w:r>
        <w:rPr>
          <w:rFonts w:ascii="PingFang SC" w:hAnsi="PingFang SC" w:eastAsia="PingFang SC" w:cs="PingFang SC"/>
        </w:rPr>
        <w:t>FY2026库存差异为7,203百万美元。[1][2]</w:t>
      </w:r>
    </w:p>
    <w:p>
      <w:pPr>
        <w:pStyle w:val="ListBullet"/>
      </w:pPr>
      <w:r>
        <w:rPr>
          <w:rFonts w:ascii="PingFang SC" w:hAnsi="PingFang SC" w:eastAsia="PingFang SC" w:cs="PingFang SC"/>
        </w:rPr>
        <w:t>正式报告应以可勾稽年度数据为准。[1][2]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参考文献与使用边界</w:t>
      </w:r>
    </w:p>
    <w:p>
      <w:r>
        <w:rPr>
          <w:rFonts w:ascii="PingFang SC" w:hAnsi="PingFang SC" w:eastAsia="PingFang SC" w:cs="PingFang SC"/>
        </w:rPr>
        <w:t>资料涵盖年度指标、演示季度表及风险备忘录。[1][2][3][4][5]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[1] FY2022—FY2026五年经营质量指标表</w:t>
      </w:r>
    </w:p>
    <w:p>
      <w:pPr>
        <w:pStyle w:val="ListBullet"/>
      </w:pPr>
      <w:r>
        <w:rPr>
          <w:rFonts w:ascii="PingFang SC" w:hAnsi="PingFang SC" w:eastAsia="PingFang SC" w:cs="PingFang SC"/>
        </w:rPr>
        <w:t>[2] FY2025—FY2026季度动能演示表</w:t>
      </w:r>
    </w:p>
    <w:p>
      <w:pPr>
        <w:pStyle w:val="ListBullet"/>
      </w:pPr>
      <w:r>
        <w:rPr>
          <w:rFonts w:ascii="PingFang SC" w:hAnsi="PingFang SC" w:eastAsia="PingFang SC" w:cs="PingFang SC"/>
        </w:rPr>
        <w:t>[3] 五年业务结构表；FY2026含演示拆分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官方索引与风险资料补充来源</w:t>
      </w:r>
    </w:p>
    <w:p>
      <w:r>
        <w:rPr>
          <w:rFonts w:ascii="PingFang SC" w:hAnsi="PingFang SC" w:eastAsia="PingFang SC" w:cs="PingFang SC"/>
        </w:rPr>
        <w:t>原始披露仍需依据官方索引完成独立核验。[4][5]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[4] NVIDIA年报、10-K及SEC XBRL索引</w:t>
      </w:r>
    </w:p>
    <w:p>
      <w:pPr>
        <w:pStyle w:val="ListBullet"/>
      </w:pPr>
      <w:r>
        <w:rPr>
          <w:rFonts w:ascii="PingFang SC" w:hAnsi="PingFang SC" w:eastAsia="PingFang SC" w:cs="PingFang SC"/>
        </w:rPr>
        <w:t>[5] 经营风险监测表及运营风险备忘录</w:t>
      </w:r>
    </w:p>
    <w:p>
      <w:pPr>
        <w:pStyle w:val="ListBullet"/>
      </w:pPr>
      <w:r>
        <w:rPr>
          <w:rFonts w:ascii="PingFang SC" w:hAnsi="PingFang SC" w:eastAsia="PingFang SC" w:cs="PingFang SC"/>
        </w:rPr>
        <w:t>公开资料摘要不替代原始文件或专业意见。[4]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</w:pPr>
      <w:r>
        <w:rPr>
          <w:rFonts w:ascii="PingFang SC" w:hAnsi="PingFang SC" w:eastAsia="PingFang SC" w:cs="PingFang SC"/>
        </w:rPr>
        <w:t>参考文献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[1] nvidia_fy2022_fy2026_financials.csv. type table, rows 1:8, char_start 0, char_end 1066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[2] nvidia_fy2022_fy2026_financials.csv. type table, rows 1:8, char_start 916, char_end 1637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[3] nvidia_business_mix.csv. type table, rows 1:6, char_start 0, char_end 602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[4] management_risk_monitor.csv. type table, rows 1:7, char_start 0, char_end 807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[5] NVIDIA_FY2022_FY2026年报摘要.pdf. type pdf, p. 1, char_start 0, char_end 273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[6] NVIDIA_FY2022_FY2026年报摘要.pdf. type pdf, p. 2, char_start 0, char_end 375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[7] NVIDIA经营风险观察备忘录.docx. type word, para. 1, char_start 0, char_end 26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[8] NVIDIA经营风险观察备忘录.docx. type word, para. 2, char_start 0, char_end 28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[9] NVIDIA经营风险观察备忘录.docx. type word, para. 3, char_start 0, char_end 66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[10] NVIDIA经营风险观察备忘录.docx. type word, para. 4, char_start 0, char_end 47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[11] NVIDIA经营风险观察备忘录.docx. type word, para. 5, char_start 0, char_end 39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[12] NVIDIA经营风险观察备忘录.docx. type word, para. 6, char_start 0, char_end 46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[13] NVIDIA经营风险观察备忘录.docx. type word, para. 8, char_start 0, char_end 17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[14] NVIDIA经营风险观察备忘录.docx. type word, para. 9, char_start 0, char_end 195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[15] NVIDIA经营风险观察备忘录.docx. type word, para. 10, char_start 0, char_end 13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[16] NVIDIA经营风险观察备忘录.docx. type word, para. 12, char_start 0, char_end 18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[17] NVIDIA经营风险观察备忘录.docx. type word, para. 13, char_start 0, char_end 71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[18] NVIDIA经营风险观察备忘录.docx. type word, para. 14, char_start 0, char_end 40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[19] NVIDIA经营风险观察备忘录.docx. type word, para. 15, char_start 0, char_end 77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[20] NVIDIA经营风险观察备忘录.docx. type word_table, table 1, char_start 0, char_end 277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[21] NVIDIA 历年年度报告与股东资料. https://investor.nvidia.com/financial-info/annual-reports-and-proxies/default.aspx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[22] SEC EDGAR - NVIDIA 公司申报. https://www.sec.gov/edgar/search/?entityName=NVDA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[23] SEC Company Facts - NVIDIA 结构化披露. https://data.sec.gov/api/xbrl/companyfacts/CIK0001045810.json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