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2937"/>
        </w:rPr>
        <w:t>启明智造2026年半年度管理层讨论</w:t>
      </w:r>
    </w:p>
    <w:p>
      <w:r>
        <w:rPr>
          <w:color w:val="5B697D"/>
        </w:rPr>
        <w:t>模拟案例资料</w:t>
      </w:r>
    </w:p>
    <w:p>
      <w:pPr>
        <w:pStyle w:val="Heading1"/>
      </w:pPr>
      <w:r>
        <w:t>管理层讨论与分析</w:t>
      </w:r>
    </w:p>
    <w:p>
      <w:r>
        <w:t># 启明智造 2026 年半年度管理层讨论（模拟）</w:t>
        <w:br/>
        <w:br/>
        <w:t>公司上半年储能系统、工业自动化和海外设备三条业务线均实现交付增长。储能系统在手订单较为充足，但受原材料价格反弹、低价项目进入交付期影响，毛利率承压。工业自动化业务保持相对稳定，研发投入主要用于新一代控制平台和边缘计算模块。</w:t>
        <w:br/>
        <w:br/>
        <w:t>海外设备业务收入增长较快，但部分欧洲客户延长验收与付款周期，导致应收账款增加。公司已启动重点客户分级催收，并考虑使用远期结售汇工具降低汇率波动影响。</w:t>
        <w:br/>
        <w:br/>
        <w:t>经营现金流低于预算，主要与应收增长、项目备货及海外渠道库存有关。管理层要求下半年把现金回收、库存周转和低毛利订单治理作为经营重点，同时保持核心研发项目投入强度。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