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0D0B"/>
          <w:sz w:val="56"/>
          <w:szCs w:val="56"/>
        </w:rPr>
        <w:t xml:space="preserve">Bird’s Eye View Project</w:t>
      </w:r>
    </w:p>
    <w:p>
      <w:pPr>
        <w:spacing w:after="80"/>
      </w:pPr>
      <w:r>
        <w:rPr>
          <w:color w:val="C81C00"/>
          <w:sz w:val="32"/>
          <w:szCs w:val="32"/>
        </w:rPr>
        <w:t xml:space="preserve">Brand · Site · Platform rebuild</w:t>
      </w:r>
    </w:p>
    <w:p>
      <w:pPr>
        <w:spacing w:after="200"/>
      </w:pPr>
      <w:r>
        <w:rPr>
          <w:i/>
          <w:iCs/>
          <w:color w:val="5A574F"/>
          <w:sz w:val="20"/>
          <w:szCs w:val="20"/>
        </w:rPr>
        <w:t xml:space="preserve">Case study · 2026  ·  by Noah Barlow / Smaller Agency</w:t>
      </w:r>
    </w:p>
    <w:p>
      <w:pPr>
        <w:pBdr>
          <w:bottom w:val="single" w:color="D5D2CB" w:sz="6" w:space="1"/>
        </w:pBdr>
        <w:spacing w:after="240" w:before="80"/>
      </w:pPr>
      <w:r>
        <w:t xml:space="preserve"/>
      </w:r>
    </w:p>
    <w:p>
      <w:pPr>
        <w:spacing w:after="200"/>
      </w:pPr>
      <w:r>
        <w:rPr>
          <w:i/>
          <w:iCs/>
          <w:color w:val="5A574F"/>
          <w:sz w:val="22"/>
          <w:szCs w:val="22"/>
        </w:rPr>
        <w:t xml:space="preserve">A six-week rebuild of the digital footprint of a 501(c)(3) serving veterans and first responders — from a 2015-era nonprofit template into a unified editorial brand system with conversion infrastructure that fits how the small team actually works.</w:t>
      </w:r>
    </w:p>
    <w:p>
      <w:pPr>
        <w:pStyle w:val="Heading1"/>
      </w:pPr>
      <w:r>
        <w:rPr>
          <w:color w:val="0E0D0B"/>
        </w:rPr>
        <w:t xml:space="preserve">Executive summary</w:t>
      </w:r>
    </w:p>
    <w:p>
      <w:r>
        <w:t xml:space="preserve">Bird’s Eye View Project (BEVP) runs War Feather, a six-month structured program (treatment + biomarkers + training + community) for veterans and first responders, alongside the 7X Human Performance Project — a large-scale field initiative with 250+ participants across cohorts. The mission was strong before we touched anything. The expression wasn’t.</w:t>
      </w:r>
    </w:p>
    <w:p>
      <w:r>
        <w:t xml:space="preserve">Over six weeks we rebuilt the brand identity, the website (20 production pages), and the conversion infrastructure (tag manager + pixel + GA4), then handed the team a single CSS source of truth and a 17-spread brand guidelines PDF generated from that same source. The work shipped daily; the team reviewed copy each evening; nothing broke in production.</w:t>
      </w:r>
    </w:p>
    <w:p>
      <w:pPr>
        <w:pStyle w:val="Heading1"/>
      </w:pPr>
      <w:r>
        <w:rPr>
          <w:color w:val="0E0D0B"/>
        </w:rPr>
        <w:t xml:space="preserve">Background</w:t>
      </w:r>
    </w:p>
    <w:p>
      <w:r>
        <w:t xml:space="preserve">BEVP is a Texas 501(c)(3) founded by retired Navy SEAL Ryan “Birdman” Parrott. The organization’s flagship program is War Feather — a structured, partner-led, six-month arc designed for the operator after the uniform comes off: clinical therapy, biomarker tracking, programmed training, and a cohort that meets in person across the year. The 7X Human Performance Project is the proof-of-concept that preceded War Feather: 250+ veterans and first responders, clinical and corporate partners, multi-region execution.</w:t>
      </w:r>
    </w:p>
    <w:p>
      <w:r>
        <w:t xml:space="preserve">Three audiences land on the same site: the warrior (potential applicant), the donor (potential funder), and the partner (potential clinical or corporate sponsor). Each needs a different message and a different commitment ask.</w:t>
      </w:r>
    </w:p>
    <w:p>
      <w:pPr>
        <w:pStyle w:val="Heading1"/>
      </w:pPr>
      <w:r>
        <w:rPr>
          <w:color w:val="0E0D0B"/>
        </w:rPr>
        <w:t xml:space="preserve">The before</w:t>
      </w:r>
    </w:p>
    <w:p>
      <w:r>
        <w:t xml:space="preserve">The legacy site fought its own mission. A few of the specifics we found in audit:</w:t>
      </w:r>
    </w:p>
    <w:p>
      <w:pPr>
        <w:pStyle w:val="ListParagraph"/>
        <w:numPr>
          <w:ilvl w:val="0"/>
          <w:numId w:val="2"/>
        </w:numPr>
      </w:pPr>
      <w:r>
        <w:t xml:space="preserve">A “Join Our Squadron” hero graphic in stock-corporate blue — disconnected from the brand’s actual positioning (“extreme sports for extreme needs”).</w:t>
      </w:r>
    </w:p>
    <w:p>
      <w:pPr>
        <w:pStyle w:val="ListParagraph"/>
        <w:numPr>
          <w:ilvl w:val="0"/>
          <w:numId w:val="2"/>
        </w:numPr>
      </w:pPr>
      <w:r>
        <w:t xml:space="preserve">Five separate external destinations for donations (givingfuel.com, regfox.com, getcobalt.io, internal pages) — the donor journey fragmented across providers.</w:t>
      </w:r>
    </w:p>
    <w:p>
      <w:pPr>
        <w:pStyle w:val="ListParagraph"/>
        <w:numPr>
          <w:ilvl w:val="0"/>
          <w:numId w:val="2"/>
        </w:numPr>
      </w:pPr>
      <w:r>
        <w:t xml:space="preserve">A statistics block (“6,000 veteran suicides annually …”) dropped without narrative or honor.</w:t>
      </w:r>
    </w:p>
    <w:p>
      <w:pPr>
        <w:pStyle w:val="ListParagraph"/>
        <w:numPr>
          <w:ilvl w:val="0"/>
          <w:numId w:val="2"/>
        </w:numPr>
      </w:pPr>
      <w:r>
        <w:t xml:space="preserve">PHP deprecation warnings rendering inside the contact form.</w:t>
      </w:r>
    </w:p>
    <w:p>
      <w:pPr>
        <w:pStyle w:val="ListParagraph"/>
        <w:numPr>
          <w:ilvl w:val="0"/>
          <w:numId w:val="2"/>
        </w:numPr>
      </w:pPr>
      <w:r>
        <w:t xml:space="preserve">Inconsistent typography, no design tokens, no documented brand.</w:t>
      </w:r>
    </w:p>
    <w:p>
      <w:r>
        <w:t xml:space="preserve">The bottom line from the audit: a mission-driven organization hamstrung by technical debt and bland design execution. The content was solid. The presentation undermined it.</w:t>
      </w:r>
    </w:p>
    <w:p>
      <w:pPr>
        <w:pStyle w:val="Heading1"/>
      </w:pPr>
      <w:r>
        <w:rPr>
          <w:color w:val="0E0D0B"/>
        </w:rPr>
        <w:t xml:space="preserve">The brief</w:t>
      </w:r>
    </w:p>
    <w:p>
      <w:r>
        <w:t xml:space="preserve">Make the brand match the work. Build a system that scales. Earn the click.</w:t>
      </w:r>
    </w:p>
    <w:p>
      <w:r>
        <w:t xml:space="preserve">Concretely: a brand identity with documented tokens. A site that opens on emotional truth, not a clipart hero. A conversion pathway the small team can actually measure. A maintainable codebase the next round of work can build on without starting over.</w:t>
      </w:r>
    </w:p>
    <w:p>
      <w:pPr>
        <w:pStyle w:val="Heading1"/>
      </w:pPr>
      <w:r>
        <w:rPr>
          <w:color w:val="0E0D0B"/>
        </w:rPr>
        <w:t xml:space="preserve">Approach</w:t>
      </w:r>
    </w:p>
    <w:p>
      <w:r>
        <w:t xml:space="preserve">Two parallel git repositories — v1 (production) and v2 (greenfield rebuild). The v2 repo was the laboratory: information architecture, brand system, copy iteration, conversion patterns. Once aligned, v2 took over v1 via force-push. Daily commits, content drops from the founder reviewed each evening, design system rules locked into a single 86 KB CSS file as the source of truth.</w:t>
      </w:r>
    </w:p>
    <w:p>
      <w:r>
        <w:t xml:space="preserve">No CMS. No framework. Static HTML on GitHub Pages, vanilla JS, design tokens in CSS custom properties. Decision driven by the team size (small), the page count (bounded), and the deploy story (push to main → live). When the team later needs editor-driven content, the structured copy deck (.docx) we delivered drops cleanly into any headless CMS without restructuring.</w:t>
      </w:r>
    </w:p>
    <w:p>
      <w:pPr>
        <w:pStyle w:val="Heading1"/>
      </w:pPr>
      <w:r>
        <w:rPr>
          <w:color w:val="0E0D0B"/>
        </w:rPr>
        <w:t xml:space="preserve">The work — Brand</w:t>
      </w:r>
    </w:p>
    <w:p>
      <w:pPr>
        <w:pStyle w:val="Heading3"/>
      </w:pPr>
      <w:r>
        <w:rPr>
          <w:color w:val="C81C00"/>
        </w:rPr>
        <w:t xml:space="preserve">Color tokens</w:t>
      </w:r>
    </w:p>
    <w:p>
      <w:r>
        <w:t xml:space="preserve">Four colors do the work: --bone (#ECE3D0, the canvas), --ink (#0E0D0B, the type), --orange (#FF2A00, the accent), --orange-deep (#C81C00, the hover and the climax). Every page references these as CSS custom properties; there are no hardcoded hex values in any HTML file.</w:t>
      </w:r>
    </w:p>
    <w:p>
      <w:pPr>
        <w:pStyle w:val="Heading3"/>
      </w:pPr>
      <w:r>
        <w:rPr>
          <w:color w:val="C81C00"/>
        </w:rPr>
        <w:t xml:space="preserve">Typography stack</w:t>
      </w:r>
    </w:p>
    <w:p>
      <w:r>
        <w:t xml:space="preserve">Four typefaces in a deliberate hierarchy: Big Shoulders Display (heavy condensed sans, weight 900) for the display headlines. Spectral italic for the editorial accent inside headlines (“Real science. Real help. Real outcomes.”). Public Sans for body copy. JetBrains Mono for the // metadata labels. Loaded via Google Fonts with preconnect for the gstatic.com origin.</w:t>
      </w:r>
    </w:p>
    <w:p>
      <w:pPr>
        <w:pStyle w:val="Heading3"/>
      </w:pPr>
      <w:r>
        <w:rPr>
          <w:color w:val="C81C00"/>
        </w:rPr>
        <w:t xml:space="preserve">Marks</w:t>
      </w:r>
    </w:p>
    <w:p>
      <w:r>
        <w:t xml:space="preserve">A custom-drawn feather + eye lockup, hand-shaped to read at any size from favicon to footer hero. The mark uses CSS custom properties on its fill attributes (inside the SVG &lt;symbol&gt;), which lets it render ink-on-bone in the header and bone-on-ink in the footer without duplicating the SVG file. Required because Safari and Chrome handle currentColor inside &lt;use&gt; differently.</w:t>
      </w:r>
    </w:p>
    <w:p>
      <w:pPr>
        <w:pStyle w:val="Heading3"/>
      </w:pPr>
      <w:r>
        <w:rPr>
          <w:color w:val="C81C00"/>
        </w:rPr>
        <w:t xml:space="preserve">Brand guidelines PDF</w:t>
      </w:r>
    </w:p>
    <w:p>
      <w:r>
        <w:t xml:space="preserve">17-spread landscape document with hex codes, typography ramp, lockup usage rules, and voice notes. Generated programmatically from the design system itself via Chrome headless — so the doc never drifts from the code. The PDF is a snapshot of the same CSS variables the site reads at runtime.</w:t>
      </w:r>
    </w:p>
    <w:p>
      <w:pPr>
        <w:pStyle w:val="Heading1"/>
      </w:pPr>
      <w:r>
        <w:rPr>
          <w:color w:val="0E0D0B"/>
        </w:rPr>
        <w:t xml:space="preserve">The work — Site</w:t>
      </w:r>
    </w:p>
    <w:p>
      <w:pPr>
        <w:pStyle w:val="Heading3"/>
      </w:pPr>
      <w:r>
        <w:rPr>
          <w:color w:val="C81C00"/>
        </w:rPr>
        <w:t xml:space="preserve">Information architecture</w:t>
      </w:r>
    </w:p>
    <w:p>
      <w:r>
        <w:t xml:space="preserve">20 production HTML pages structured around three pillars: Real Science (the clinical partnership and instrumentation), Real Help (the program access path), Real Outcomes (track record). The IA mirrored the client’s own messaging hierarchy so the team’s mental model of the org matched the site’s structure.</w:t>
      </w:r>
    </w:p>
    <w:p>
      <w:pPr>
        <w:pStyle w:val="Heading3"/>
      </w:pPr>
      <w:r>
        <w:rPr>
          <w:color w:val="C81C00"/>
        </w:rPr>
        <w:t xml:space="preserve">The Pulse hero</w:t>
      </w:r>
    </w:p>
    <w:p>
      <w:r>
        <w:t xml:space="preserve">The homepage opens on the Pulse: a JS-driven cycling word that walks the warrior through the emotional arc — symptom (Lost. Numb. Hypervigilant. No sleep.) → ask (Where’s my tribe? Do you love yourself?) → answer (We were once you. Here’s how to change. Join our family.). Runs once on viewport entry, holds on the climax. The supporting imagery is three layered photographs that crossfade in lockstep with the beat group — silhouette at sunset for the symptom, BASE jumper at the edge for the ask, cohort photo for the answer.</w:t>
      </w:r>
    </w:p>
    <w:p>
      <w:pPr>
        <w:pStyle w:val="Heading3"/>
      </w:pPr>
      <w:r>
        <w:rPr>
          <w:color w:val="C81C00"/>
        </w:rPr>
        <w:t xml:space="preserve">The Two-Door CTA</w:t>
      </w:r>
    </w:p>
    <w:p>
      <w:r>
        <w:t xml:space="preserve">The hero ends on two equal-weight CTAs: “I am ready to JOIN” and “I am ready to SUPPORT.” Replaces the limp “Donate Now / Learn More” of the old site with committed framing. The donor sees the same pattern as the warrior; the dignity is mutual.</w:t>
      </w:r>
    </w:p>
    <w:p>
      <w:pPr>
        <w:pStyle w:val="Heading3"/>
      </w:pPr>
      <w:r>
        <w:rPr>
          <w:color w:val="C81C00"/>
        </w:rPr>
        <w:t xml:space="preserve">The team board</w:t>
      </w:r>
    </w:p>
    <w:p>
      <w:r>
        <w:t xml:space="preserve">19 face-aligned portraits processed with YuNet DNN face detection. Every operator’s eyes sit on the same horizontal line across the grid. A halftone treatment (grayscale + radial-gradient dot screen) gives the board editorial unity. Per-person crop overrides handle the edge cases — wider crops for headshot oddities, tighter for portraits where the original framing was too distant. Source images stay in a private git-ignored folder; only the processed JPEGs are committed.</w:t>
      </w:r>
    </w:p>
    <w:p>
      <w:pPr>
        <w:pStyle w:val="Heading3"/>
      </w:pPr>
      <w:r>
        <w:rPr>
          <w:color w:val="C81C00"/>
        </w:rPr>
        <w:t xml:space="preserve">7X training video libraries</w:t>
      </w:r>
    </w:p>
    <w:p>
      <w:r>
        <w:t xml:space="preserve">Two libraries (strength training and prehab/rehab — 14 routines taught by the team’s lead physical therapist) live at exactly the URLs the legacy site used: /about-7x/strength-training-videos/ and /about-7x/prehab-rehab-videos/. So when the new build replaces the old one, external links, email references, and inbound search results continue to resolve. No redirects required.</w:t>
      </w:r>
    </w:p>
    <w:p>
      <w:pPr>
        <w:pStyle w:val="Heading3"/>
      </w:pPr>
      <w:r>
        <w:rPr>
          <w:color w:val="C81C00"/>
        </w:rPr>
        <w:t xml:space="preserve">Documentary trailers</w:t>
      </w:r>
    </w:p>
    <w:p>
      <w:r>
        <w:t xml:space="preserve">The documentary page features two self-hosted trailers — Human Performance Project and Legacy Jump — compressed from 235 MB and 260 MB raw masters down to 58 MB and 68 MB respectively (540p, H.264). Embedded with &lt;video preload="none"&gt; so the page weight stays light until the visitor clicks play. Each carries a paywall CTA (“View the full film → Subscription required”) ready to swap to the actual paywall provider when it’s wired.</w:t>
      </w:r>
    </w:p>
    <w:p>
      <w:pPr>
        <w:pStyle w:val="Heading1"/>
      </w:pPr>
      <w:r>
        <w:rPr>
          <w:color w:val="0E0D0B"/>
        </w:rPr>
        <w:t xml:space="preserve">The work — Platform / conversion</w:t>
      </w:r>
    </w:p>
    <w:p>
      <w:pPr>
        <w:pStyle w:val="Heading3"/>
      </w:pPr>
      <w:r>
        <w:rPr>
          <w:color w:val="C81C00"/>
        </w:rPr>
        <w:t xml:space="preserve">Tracking infrastructure</w:t>
      </w:r>
    </w:p>
    <w:p>
      <w:r>
        <w:t xml:space="preserve">Google Tag Manager (GTM-TW3ZHJ3Q), Meta Pixel, and a registered GA4 measurement ID across all 20 production pages. The existing analytics.js scaffold pushes dataLayer events for CTA clicks and form submits — so when the GA4 Configuration tag is added inside GTM, those conversion events flow into GA4 automatically without further code changes.</w:t>
      </w:r>
    </w:p>
    <w:p>
      <w:pPr>
        <w:pStyle w:val="Heading3"/>
      </w:pPr>
      <w:r>
        <w:rPr>
          <w:color w:val="C81C00"/>
        </w:rPr>
        <w:t xml:space="preserve">Apply and Donate</w:t>
      </w:r>
    </w:p>
    <w:p>
      <w:r>
        <w:t xml:space="preserve">Both forms ship with thank-you pages and conversion-instrumented events. The Donate page has a tiered allocation visualization (100% / 90-10 / line-item breakdown) showing where each dollar goes — a trust signal at the moment of intent.</w:t>
      </w:r>
    </w:p>
    <w:p>
      <w:pPr>
        <w:pStyle w:val="Heading3"/>
      </w:pPr>
      <w:r>
        <w:rPr>
          <w:color w:val="C81C00"/>
        </w:rPr>
        <w:t xml:space="preserve">Heartbeat first-visit modal</w:t>
      </w:r>
    </w:p>
    <w:p>
      <w:r>
        <w:t xml:space="preserve">A quiet welcome modal gates the first visit — not pushy, dismissable, localStorage-flagged so it doesn’t appear again. Both paths (Join, Support) are reflected as primary buttons. A ?heartbeat=0 / ?heartbeat=1 URL flag lets the team test it without clearing storage.</w:t>
      </w:r>
    </w:p>
    <w:p>
      <w:pPr>
        <w:pStyle w:val="Heading3"/>
      </w:pPr>
      <w:r>
        <w:rPr>
          <w:color w:val="C81C00"/>
        </w:rPr>
        <w:t xml:space="preserve">Mobile sticky CTA</w:t>
      </w:r>
    </w:p>
    <w:p>
      <w:r>
        <w:t xml:space="preserve">The three highest-priority actions — Apply, Donate, and the 988 crisis line — persist as a sticky bar at the bottom of every mobile page. The crisis line is always one tap away, regardless of where the warrior is in the site.</w:t>
      </w:r>
    </w:p>
    <w:p>
      <w:pPr>
        <w:pStyle w:val="Heading1"/>
      </w:pPr>
      <w:r>
        <w:rPr>
          <w:color w:val="0E0D0B"/>
        </w:rPr>
        <w:t xml:space="preserve">What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0E0D0B" w:val="clear"/>
            <w:tcMar>
              <w:top w:type="dxa" w:w="100"/>
              <w:left w:type="dxa" w:w="140"/>
              <w:bottom w:type="dxa" w:w="100"/>
              <w:right w:type="dxa" w:w="140"/>
            </w:tcMar>
          </w:tcPr>
          <w:p>
            <w:r>
              <w:rPr>
                <w:b/>
                <w:bCs/>
                <w:color w:val="FFFFFF"/>
                <w:sz w:val="22"/>
                <w:szCs w:val="22"/>
              </w:rPr>
              <w:t xml:space="preserve">Artifact</w:t>
            </w:r>
          </w:p>
        </w:tc>
        <w:tc>
          <w:tcPr>
            <w:tcW w:type="dxa" w:w="6240"/>
            <w:tcBorders>
              <w:top w:val="single" w:color="CCCCCC" w:sz="4"/>
              <w:left w:val="single" w:color="CCCCCC" w:sz="4"/>
              <w:bottom w:val="single" w:color="CCCCCC" w:sz="4"/>
              <w:right w:val="single" w:color="CCCCCC" w:sz="4"/>
            </w:tcBorders>
            <w:shd w:fill="0E0D0B" w:val="clear"/>
            <w:tcMar>
              <w:top w:type="dxa" w:w="100"/>
              <w:left w:type="dxa" w:w="140"/>
              <w:bottom w:type="dxa" w:w="100"/>
              <w:right w:type="dxa" w:w="140"/>
            </w:tcMar>
          </w:tcPr>
          <w:p>
            <w:r>
              <w:rPr>
                <w:b/>
                <w:bCs/>
                <w:color w:val="FFFFFF"/>
                <w:sz w:val="22"/>
                <w:szCs w:val="22"/>
              </w:rPr>
              <w:t xml:space="preserve">Detail</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Production HTML pages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20 (18 user-facing + 2 internal asset references)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Design system</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86 KB single CSS source of truth</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Brand guidelines PDF</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17 landscape spreads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Copy deck (.docx)</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Editable copy for every page — client review-ready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Team portraits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19 face-aligned (YuNet DNN, halftone treatment)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Video libraries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17 strength + prehab YouTube embeds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Documentary trailers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2 self-hosted, compressed 540p H.264</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Tracking</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GTM + Meta Pixel + GA4 (routed via GTM)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Forms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Apply, Donate (with tiered allocation chart), Contact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Onboarding</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E0D0B"/>
                <w:sz w:val="22"/>
                <w:szCs w:val="22"/>
              </w:rPr>
              <w:t xml:space="preserve">Heartbeat first-visit modal + mobile sticky CTA bar</w:t>
            </w:r>
          </w:p>
        </w:tc>
      </w:tr>
    </w:tbl>
    <w:p>
      <w:pPr>
        <w:pStyle w:val="Heading1"/>
      </w:pPr>
      <w:r>
        <w:rPr>
          <w:color w:val="0E0D0B"/>
        </w:rPr>
        <w:t xml:space="preserve">Why it matters</w:t>
      </w:r>
    </w:p>
    <w:p>
      <w:r>
        <w:t xml:space="preserve">The mission was strong before we touched anything. What changed is the expression and the infrastructure: a brand and platform that match the emotional reality of the people the org serves, conversion measurement that lets the small team see what’s working, and a maintainable codebase the next round of work can build on without starting over.</w:t>
      </w:r>
    </w:p>
    <w:p>
      <w:r>
        <w:t xml:space="preserve">For an audience like BEVP’s — operators, donors, partners — the bar is honesty. The site couldn’t look like it was trying to manipulate them; it had to look like the work itself. The Pulse hero earned the click by naming what the warrior already felt. The Two-Door CTA gave the donor and the warrior the same dignity. The Real Science / Real Help / Real Outcomes structure put receipts where promises used to live.</w:t>
      </w:r>
    </w:p>
    <w:p>
      <w:pPr>
        <w:pStyle w:val="Heading1"/>
      </w:pPr>
      <w:r>
        <w:rPr>
          <w:color w:val="0E0D0B"/>
        </w:rPr>
        <w:t xml:space="preserve">Stack · decisions</w:t>
      </w:r>
    </w:p>
    <w:p>
      <w:pPr>
        <w:pStyle w:val="ListParagraph"/>
        <w:numPr>
          <w:ilvl w:val="0"/>
          <w:numId w:val="2"/>
        </w:numPr>
      </w:pPr>
      <w:r>
        <w:t xml:space="preserve">Static HTML + vanilla JS. No CMS, no framework. Team size and page count made this the simplest deploy story.</w:t>
      </w:r>
    </w:p>
    <w:p>
      <w:pPr>
        <w:pStyle w:val="ListParagraph"/>
        <w:numPr>
          <w:ilvl w:val="0"/>
          <w:numId w:val="2"/>
        </w:numPr>
      </w:pPr>
      <w:r>
        <w:t xml:space="preserve">GitHub Pages hosting. Push to main → live in ~60 seconds.</w:t>
      </w:r>
    </w:p>
    <w:p>
      <w:pPr>
        <w:pStyle w:val="ListParagraph"/>
        <w:numPr>
          <w:ilvl w:val="0"/>
          <w:numId w:val="2"/>
        </w:numPr>
      </w:pPr>
      <w:r>
        <w:t xml:space="preserve">Big Shoulders Display + Spectral + Public Sans + JetBrains Mono, all via Google Fonts with preconnect.</w:t>
      </w:r>
    </w:p>
    <w:p>
      <w:pPr>
        <w:pStyle w:val="ListParagraph"/>
        <w:numPr>
          <w:ilvl w:val="0"/>
          <w:numId w:val="2"/>
        </w:numPr>
      </w:pPr>
      <w:r>
        <w:t xml:space="preserve">CSS custom properties as the design system source of truth. Zero hardcoded hex in HTML.</w:t>
      </w:r>
    </w:p>
    <w:p>
      <w:pPr>
        <w:pStyle w:val="ListParagraph"/>
        <w:numPr>
          <w:ilvl w:val="0"/>
          <w:numId w:val="2"/>
        </w:numPr>
      </w:pPr>
      <w:r>
        <w:t xml:space="preserve">YuNet DNN model for portrait face detection (more reliable than Haar cascades against varied backgrounds).</w:t>
      </w:r>
    </w:p>
    <w:p>
      <w:pPr>
        <w:pStyle w:val="ListParagraph"/>
        <w:numPr>
          <w:ilvl w:val="0"/>
          <w:numId w:val="2"/>
        </w:numPr>
      </w:pPr>
      <w:r>
        <w:t xml:space="preserve">Python + PIL + OpenCV for the image processing pipeline (portrait alignment, halftone, web-optimized derivatives).</w:t>
      </w:r>
    </w:p>
    <w:p>
      <w:pPr>
        <w:pStyle w:val="ListParagraph"/>
        <w:numPr>
          <w:ilvl w:val="0"/>
          <w:numId w:val="2"/>
        </w:numPr>
      </w:pPr>
      <w:r>
        <w:t xml:space="preserve">Chrome headless --print-to-pdf for brand guidelines generation, so the doc reflects the live design system.</w:t>
      </w:r>
    </w:p>
    <w:p>
      <w:pPr>
        <w:pStyle w:val="ListParagraph"/>
        <w:numPr>
          <w:ilvl w:val="0"/>
          <w:numId w:val="2"/>
        </w:numPr>
      </w:pPr>
      <w:r>
        <w:t xml:space="preserve">Two-repo workflow during the rebuild (v1 production, v2 laboratory), then a clean force-push to take over v1 once v2 was solid.</w:t>
      </w:r>
    </w:p>
    <w:p>
      <w:pPr>
        <w:pStyle w:val="Heading1"/>
      </w:pPr>
      <w:r>
        <w:rPr>
          <w:color w:val="0E0D0B"/>
        </w:rPr>
        <w:t xml:space="preserve">Closing</w:t>
      </w:r>
    </w:p>
    <w:p>
      <w:r>
        <w:t xml:space="preserve">Brand, site, and platform rebuild by Noah Barlow / Smaller Agency. Bird’s Eye View Project is a 501(c)(3) Texas nonprofit — Tax ID 47-4019107. To bring this kind of work to your mission-led team, write noah@smalleragency.com.</w:t>
      </w:r>
    </w:p>
    <w:p>
      <w:pPr>
        <w:pBdr>
          <w:bottom w:val="single" w:color="D5D2CB" w:sz="6" w:space="1"/>
        </w:pBdr>
        <w:spacing w:after="240" w:before="80"/>
      </w:pPr>
      <w:r>
        <w:t xml:space="preserve"/>
      </w:r>
    </w:p>
    <w:p>
      <w:pPr>
        <w:spacing w:before="240"/>
        <w:jc w:val="center"/>
      </w:pPr>
      <w:r>
        <w:rPr>
          <w:i/>
          <w:iCs/>
          <w:color w:val="5A574F"/>
          <w:sz w:val="20"/>
          <w:szCs w:val="20"/>
        </w:rPr>
        <w:t xml:space="preserve">smalleragency.com  ·  Built for the fight.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74F"/>
        <w:sz w:val="18"/>
        <w:szCs w:val="18"/>
      </w:rPr>
      <w:t xml:space="preserve">Page </w:t>
    </w:r>
    <w:r>
      <w:rPr>
        <w:color w:val="5A574F"/>
        <w:sz w:val="18"/>
        <w:szCs w:val="18"/>
      </w:rPr>
      <w:fldChar w:fldCharType="begin"/>
      <w:instrText xml:space="preserve">PAGE</w:instrText>
      <w:fldChar w:fldCharType="separate"/>
      <w:fldChar w:fldCharType="end"/>
    </w:r>
    <w:r>
      <w:rPr>
        <w:color w:val="5A574F"/>
        <w:sz w:val="18"/>
        <w:szCs w:val="18"/>
      </w:rPr>
      <w:t xml:space="preserve"> of </w:t>
    </w:r>
    <w:r>
      <w:rPr>
        <w:color w:val="5A574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2CB" w:sz="6" w:space="4"/>
      </w:pBdr>
      <w:tabs>
        <w:tab w:val="right" w:pos="9360"/>
      </w:tabs>
    </w:pPr>
    <w:r>
      <w:rPr>
        <w:b/>
        <w:bCs/>
        <w:color w:val="C81C00"/>
        <w:sz w:val="18"/>
        <w:szCs w:val="18"/>
      </w:rPr>
      <w:t xml:space="preserve">SMALLER AGENCY  ·  CASE STUDY</w:t>
    </w:r>
    <w:r>
      <w:rPr>
        <w:color w:val="5A574F"/>
        <w:sz w:val="18"/>
        <w:szCs w:val="18"/>
      </w:rPr>
      <w:t xml:space="preserve">	Bird’s Eye View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E0D0B"/>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E0D0B"/>
      <w:sz w:val="30"/>
      <w:szCs w:val="30"/>
    </w:rPr>
  </w:style>
  <w:style w:type="paragraph" w:styleId="Heading3">
    <w:name w:val="Heading 3"/>
    <w:basedOn w:val="Normal"/>
    <w:next w:val="Normal"/>
    <w:qFormat/>
    <w:pPr>
      <w:spacing w:after="80" w:before="220"/>
      <w:outlineLvl w:val="2"/>
    </w:pPr>
    <w:rPr>
      <w:rFonts w:ascii="Arial" w:cs="Arial" w:eastAsia="Arial" w:hAnsi="Arial"/>
      <w:b/>
      <w:bCs/>
      <w:color w:val="C81C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2026-06-23T00:01:04.315Z</dcterms:created>
  <dcterms:modified xsi:type="dcterms:W3CDTF">2026-06-23T00:01:04.319Z</dcterms:modified>
</cp:coreProperties>
</file>

<file path=docProps/custom.xml><?xml version="1.0" encoding="utf-8"?>
<Properties xmlns="http://schemas.openxmlformats.org/officeDocument/2006/custom-properties" xmlns:vt="http://schemas.openxmlformats.org/officeDocument/2006/docPropsVTypes"/>
</file>