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44"/>
          <w:szCs w:val="44"/>
        </w:rPr>
        <w:t xml:space="preserve">Cloud-Based EM Simulation for PCB SI/EMI Validation</w:t>
      </w:r>
    </w:p>
    <w:p>
      <w:pPr>
        <w:spacing w:after="400"/>
        <w:jc w:val="center"/>
      </w:pPr>
      <w:r>
        <w:rPr>
          <w:color w:val="595959"/>
          <w:sz w:val="28"/>
          <w:szCs w:val="28"/>
        </w:rPr>
        <w:t xml:space="preserve">A Productized “gerbers2ems” Concept: Market Sizing &amp; EBITDA Estimate</w:t>
      </w:r>
    </w:p>
    <w:p>
      <w:pPr>
        <w:spacing w:after="100"/>
        <w:jc w:val="center"/>
      </w:pPr>
      <w:r>
        <w:rPr>
          <w:i/>
          <w:iCs/>
          <w:color w:val="595959"/>
          <w:sz w:val="22"/>
          <w:szCs w:val="22"/>
        </w:rPr>
        <w:t xml:space="preserve">Internal Market Research — Feynman-Method Estimate</w:t>
      </w:r>
    </w:p>
    <w:p>
      <w:pPr>
        <w:jc w:val="center"/>
      </w:pPr>
      <w:r>
        <w:rPr>
          <w:color w:val="595959"/>
          <w:sz w:val="22"/>
          <w:szCs w:val="22"/>
        </w:rPr>
        <w:t xml:space="preserve">September 2026</w:t>
      </w:r>
    </w:p>
    <w:p>
      <w:r>
        <w:br w:type="page"/>
      </w:r>
    </w:p>
    <w:p>
      <w:pPr>
        <w:pStyle w:val="Heading1"/>
        <w:spacing w:after="160" w:before="360"/>
      </w:pPr>
      <w:r>
        <w:rPr>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79"/>
          <w:sz w:val="30"/>
          <w:szCs w:val="30"/>
        </w:rPr>
        <w:t xml:space="preserve">1. Purpose and Methodology</w:t>
      </w:r>
    </w:p>
    <w:p>
      <w:pPr>
        <w:spacing w:after="160" w:line="276"/>
      </w:pPr>
      <w:r>
        <w:rPr>
          <w:i w:val="false"/>
          <w:iCs w:val="false"/>
          <w:sz w:val="22"/>
          <w:szCs w:val="22"/>
        </w:rPr>
        <w:t xml:space="preserve">This document estimates the market opportunity for a hypothetical productized version of gerbers2ems — a niche open-source utility that imports Gerber files into openEMS, an open-source full-wave electromagnetic (FDTD) solver — reimagined as a commercial SaaS product with a GUI, cloud compute, support contracts, and licensing, aimed at hardware startups and small-to-mid-size electronics companies.</w:t>
      </w:r>
    </w:p>
    <w:p>
      <w:pPr>
        <w:spacing w:after="160" w:line="276"/>
      </w:pPr>
      <w:r>
        <w:rPr>
          <w:i w:val="false"/>
          <w:iCs w:val="false"/>
          <w:sz w:val="22"/>
          <w:szCs w:val="22"/>
        </w:rPr>
        <w:t xml:space="preserve">All figures in this report are Feynman-style order-of-magnitude estimates built from first principles (population counts, adoption filters, and pricing assumptions), not sourced market data. No published sizing exists for this specific niche (board-level cloud EM simulation for SMB hardware teams). Figures should be treated as directional, useful for framing investment-level decisions, not as diligence-grade numbers.</w:t>
      </w:r>
    </w:p>
    <w:p>
      <w:pPr>
        <w:spacing w:after="160" w:line="276"/>
      </w:pPr>
      <w:r>
        <w:rPr>
          <w:b/>
          <w:bCs/>
          <w:color w:val="1F4E79"/>
          <w:sz w:val="22"/>
          <w:szCs w:val="22"/>
        </w:rPr>
        <w:t xml:space="preserve">Closest external comparable found: </w:t>
      </w:r>
      <w:r>
        <w:rPr>
          <w:sz w:val="22"/>
          <w:szCs w:val="22"/>
        </w:rPr>
        <w:t xml:space="preserve">the “Signal Integrity IP” market (pre-designed SI/PI models and blocks for chip and system design) was sized at approximately $1.26 billion in 2024, per industry market-report coverage. This is a related but distinct market — chip-level IP for hyperscale/semiconductor buyers, not board-level tools for hardware startups — and is cited here only as directional context, not as a basis for the estimates below.</w:t>
      </w:r>
    </w:p>
    <w:p>
      <w:pPr>
        <w:pStyle w:val="Heading1"/>
        <w:spacing w:after="160" w:before="360"/>
      </w:pPr>
      <w:r>
        <w:rPr>
          <w:b/>
          <w:bCs/>
          <w:color w:val="1F4E79"/>
          <w:sz w:val="30"/>
          <w:szCs w:val="30"/>
        </w:rPr>
        <w:t xml:space="preserve">2. Baseline: Current Tool Awareness Among Hardware Engineers</w:t>
      </w:r>
    </w:p>
    <w:p>
      <w:pPr>
        <w:spacing w:after="160" w:line="276"/>
      </w:pPr>
      <w:r>
        <w:rPr>
          <w:i w:val="false"/>
          <w:iCs w:val="false"/>
          <w:sz w:val="22"/>
          <w:szCs w:val="22"/>
        </w:rPr>
        <w:t xml:space="preserve">Before sizing a commercial product, it is useful to establish how known the underlying open-source tools already are among the target user base — electrical/computer engineers who design PCB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00"/>
        <w:gridCol w:w="4260"/>
      </w:tblGrid>
      <w:tr>
        <w:trPr>
          <w:cantSplit/>
          <w:tblHeader/>
        </w:trPr>
        <w:tc>
          <w:tcPr>
            <w:tcW w:type="dxa" w:w="3600"/>
            <w:shd w:fill="1F4E79" w:color="auto" w:val="clear"/>
            <w:tcMar>
              <w:top w:type="dxa" w:w="80"/>
              <w:left w:type="dxa" w:w="100"/>
              <w:bottom w:type="dxa" w:w="80"/>
              <w:right w:type="dxa" w:w="100"/>
            </w:tcMar>
          </w:tcPr>
          <w:p>
            <w:r>
              <w:rPr>
                <w:b/>
                <w:bCs/>
                <w:color w:val="FFFFFF"/>
                <w:sz w:val="20"/>
                <w:szCs w:val="20"/>
              </w:rPr>
              <w:t xml:space="preserve">Tool</w:t>
            </w:r>
          </w:p>
        </w:tc>
        <w:tc>
          <w:tcPr>
            <w:tcW w:type="dxa" w:w="4500"/>
            <w:shd w:fill="1F4E79" w:color="auto" w:val="clear"/>
            <w:tcMar>
              <w:top w:type="dxa" w:w="80"/>
              <w:left w:type="dxa" w:w="100"/>
              <w:bottom w:type="dxa" w:w="80"/>
              <w:right w:type="dxa" w:w="100"/>
            </w:tcMar>
          </w:tcPr>
          <w:p>
            <w:r>
              <w:rPr>
                <w:b/>
                <w:bCs/>
                <w:color w:val="FFFFFF"/>
                <w:sz w:val="20"/>
                <w:szCs w:val="20"/>
              </w:rPr>
              <w:t xml:space="preserve">Category</w:t>
            </w:r>
          </w:p>
        </w:tc>
        <w:tc>
          <w:tcPr>
            <w:tcW w:type="dxa" w:w="4260"/>
            <w:shd w:fill="1F4E79" w:color="auto" w:val="clear"/>
            <w:tcMar>
              <w:top w:type="dxa" w:w="80"/>
              <w:left w:type="dxa" w:w="100"/>
              <w:bottom w:type="dxa" w:w="80"/>
              <w:right w:type="dxa" w:w="100"/>
            </w:tcMar>
          </w:tcPr>
          <w:p>
            <w:r>
              <w:rPr>
                <w:b/>
                <w:bCs/>
                <w:color w:val="FFFFFF"/>
                <w:sz w:val="20"/>
                <w:szCs w:val="20"/>
              </w:rPr>
              <w:t xml:space="preserve">Est. Awareness Among PCB-Designing Engineers</w:t>
            </w:r>
          </w:p>
        </w:tc>
      </w:tr>
      <w:tr>
        <w:trPr>
          <w:cantSplit/>
        </w:trPr>
        <w:tc>
          <w:tcPr>
            <w:tcW w:type="dxa" w:w="3600"/>
            <w:tcMar>
              <w:top w:type="dxa" w:w="80"/>
              <w:left w:type="dxa" w:w="100"/>
              <w:bottom w:type="dxa" w:w="80"/>
              <w:right w:type="dxa" w:w="100"/>
            </w:tcMar>
          </w:tcPr>
          <w:p>
            <w:r>
              <w:rPr>
                <w:sz w:val="20"/>
                <w:szCs w:val="20"/>
              </w:rPr>
              <w:t xml:space="preserve">Saturn PCB Toolkit</w:t>
            </w:r>
          </w:p>
        </w:tc>
        <w:tc>
          <w:tcPr>
            <w:tcW w:type="dxa" w:w="4500"/>
            <w:tcMar>
              <w:top w:type="dxa" w:w="80"/>
              <w:left w:type="dxa" w:w="100"/>
              <w:bottom w:type="dxa" w:w="80"/>
              <w:right w:type="dxa" w:w="100"/>
            </w:tcMar>
          </w:tcPr>
          <w:p>
            <w:r>
              <w:rPr>
                <w:sz w:val="20"/>
                <w:szCs w:val="20"/>
              </w:rPr>
              <w:t xml:space="preserve">General-purpose trace impedance / current-capacity calculator</w:t>
            </w:r>
          </w:p>
        </w:tc>
        <w:tc>
          <w:tcPr>
            <w:tcW w:type="dxa" w:w="4260"/>
            <w:tcMar>
              <w:top w:type="dxa" w:w="80"/>
              <w:left w:type="dxa" w:w="100"/>
              <w:bottom w:type="dxa" w:w="80"/>
              <w:right w:type="dxa" w:w="100"/>
            </w:tcMar>
          </w:tcPr>
          <w:p>
            <w:r>
              <w:rPr>
                <w:sz w:val="20"/>
                <w:szCs w:val="20"/>
              </w:rPr>
              <w:t xml:space="preserve">~15–25%</w:t>
            </w:r>
          </w:p>
        </w:tc>
      </w:tr>
      <w:tr>
        <w:trPr>
          <w:cantSplit/>
        </w:trPr>
        <w:tc>
          <w:tcPr>
            <w:tcW w:type="dxa" w:w="3600"/>
            <w:shd w:fill="DCE6F1" w:color="auto" w:val="clear"/>
            <w:tcMar>
              <w:top w:type="dxa" w:w="80"/>
              <w:left w:type="dxa" w:w="100"/>
              <w:bottom w:type="dxa" w:w="80"/>
              <w:right w:type="dxa" w:w="100"/>
            </w:tcMar>
          </w:tcPr>
          <w:p>
            <w:r>
              <w:rPr>
                <w:sz w:val="20"/>
                <w:szCs w:val="20"/>
              </w:rPr>
              <w:t xml:space="preserve">openEMS</w:t>
            </w:r>
          </w:p>
        </w:tc>
        <w:tc>
          <w:tcPr>
            <w:tcW w:type="dxa" w:w="4500"/>
            <w:shd w:fill="DCE6F1" w:color="auto" w:val="clear"/>
            <w:tcMar>
              <w:top w:type="dxa" w:w="80"/>
              <w:left w:type="dxa" w:w="100"/>
              <w:bottom w:type="dxa" w:w="80"/>
              <w:right w:type="dxa" w:w="100"/>
            </w:tcMar>
          </w:tcPr>
          <w:p>
            <w:r>
              <w:rPr>
                <w:sz w:val="20"/>
                <w:szCs w:val="20"/>
              </w:rPr>
              <w:t xml:space="preserve">Open-source full-wave (FDTD) EM field solver</w:t>
            </w:r>
          </w:p>
        </w:tc>
        <w:tc>
          <w:tcPr>
            <w:tcW w:type="dxa" w:w="4260"/>
            <w:shd w:fill="DCE6F1" w:color="auto" w:val="clear"/>
            <w:tcMar>
              <w:top w:type="dxa" w:w="80"/>
              <w:left w:type="dxa" w:w="100"/>
              <w:bottom w:type="dxa" w:w="80"/>
              <w:right w:type="dxa" w:w="100"/>
            </w:tcMar>
          </w:tcPr>
          <w:p>
            <w:r>
              <w:rPr>
                <w:sz w:val="20"/>
                <w:szCs w:val="20"/>
              </w:rPr>
              <w:t xml:space="preserve">~1–2%</w:t>
            </w:r>
          </w:p>
        </w:tc>
      </w:tr>
      <w:tr>
        <w:trPr>
          <w:cantSplit/>
        </w:trPr>
        <w:tc>
          <w:tcPr>
            <w:tcW w:type="dxa" w:w="3600"/>
            <w:tcMar>
              <w:top w:type="dxa" w:w="80"/>
              <w:left w:type="dxa" w:w="100"/>
              <w:bottom w:type="dxa" w:w="80"/>
              <w:right w:type="dxa" w:w="100"/>
            </w:tcMar>
          </w:tcPr>
          <w:p>
            <w:r>
              <w:rPr>
                <w:sz w:val="20"/>
                <w:szCs w:val="20"/>
              </w:rPr>
              <w:t xml:space="preserve">gerbers2ems</w:t>
            </w:r>
          </w:p>
        </w:tc>
        <w:tc>
          <w:tcPr>
            <w:tcW w:type="dxa" w:w="4500"/>
            <w:tcMar>
              <w:top w:type="dxa" w:w="80"/>
              <w:left w:type="dxa" w:w="100"/>
              <w:bottom w:type="dxa" w:w="80"/>
              <w:right w:type="dxa" w:w="100"/>
            </w:tcMar>
          </w:tcPr>
          <w:p>
            <w:r>
              <w:rPr>
                <w:sz w:val="20"/>
                <w:szCs w:val="20"/>
              </w:rPr>
              <w:t xml:space="preserve">Gerber-to-openEMS import utility (niche companion tool)</w:t>
            </w:r>
          </w:p>
        </w:tc>
        <w:tc>
          <w:tcPr>
            <w:tcW w:type="dxa" w:w="4260"/>
            <w:tcMar>
              <w:top w:type="dxa" w:w="80"/>
              <w:left w:type="dxa" w:w="100"/>
              <w:bottom w:type="dxa" w:w="80"/>
              <w:right w:type="dxa" w:w="100"/>
            </w:tcMar>
          </w:tcPr>
          <w:p>
            <w:r>
              <w:rPr>
                <w:sz w:val="20"/>
                <w:szCs w:val="20"/>
              </w:rPr>
              <w:t xml:space="preserve">~0.05–0.15%</w:t>
            </w:r>
          </w:p>
        </w:tc>
      </w:tr>
    </w:tbl>
    <w:p>
      <w:pPr>
        <w:spacing w:after="240" w:before="60"/>
      </w:pPr>
      <w:r>
        <w:rPr>
          <w:i/>
          <w:iCs/>
          <w:color w:val="595959"/>
          <w:sz w:val="18"/>
          <w:szCs w:val="18"/>
        </w:rPr>
        <w:t xml:space="preserve">Estimates derived from a funnel of domain relevance (RF/SI-adjacent work), tool-category popularity, and open-source vs. commercial tooling preference — not survey data.</w:t>
      </w:r>
    </w:p>
    <w:p>
      <w:pPr>
        <w:pStyle w:val="Heading1"/>
        <w:spacing w:after="160" w:before="360"/>
      </w:pPr>
      <w:r>
        <w:rPr>
          <w:b/>
          <w:bCs/>
          <w:color w:val="1F4E79"/>
          <w:sz w:val="30"/>
          <w:szCs w:val="30"/>
        </w:rPr>
        <w:t xml:space="preserve">3. Current State: How SI/EMI/PI Validation Is Actually Done</w:t>
      </w:r>
    </w:p>
    <w:p>
      <w:pPr>
        <w:spacing w:after="160" w:line="276"/>
      </w:pPr>
      <w:r>
        <w:rPr>
          <w:i w:val="false"/>
          <w:iCs w:val="false"/>
          <w:sz w:val="22"/>
          <w:szCs w:val="22"/>
        </w:rPr>
        <w:t xml:space="preserve">Validation practice varies significantly by company size, but the common narrative — “big companies hand it to a specialist, small companies follow rule-of-thumb and hope” — is directionally correct but incomplete. A more accurate picture:</w:t>
      </w:r>
    </w:p>
    <w:p>
      <w:pPr>
        <w:pStyle w:val="Heading2"/>
        <w:spacing w:after="120" w:before="280"/>
      </w:pPr>
      <w:r>
        <w:rPr>
          <w:b/>
          <w:bCs/>
          <w:color w:val="1F4E79"/>
          <w:sz w:val="24"/>
          <w:szCs w:val="24"/>
        </w:rPr>
        <w:t xml:space="preserve">3.1 Large companies with dedicated SI/PI/EMC specialists</w:t>
      </w:r>
    </w:p>
    <w:p>
      <w:pPr>
        <w:pStyle w:val="ListParagraph"/>
        <w:numPr>
          <w:ilvl w:val="0"/>
          <w:numId w:val="2"/>
        </w:numPr>
        <w:spacing w:after="100" w:line="264"/>
      </w:pPr>
      <w:r>
        <w:rPr>
          <w:sz w:val="22"/>
          <w:szCs w:val="22"/>
        </w:rPr>
        <w:t xml:space="preserve">Run full-wave and quasi-static simulation using commercial tools (Ansys HFSS/SIwave, Cadence Sigrity/PowerSI, Keysight ADS).</w:t>
      </w:r>
    </w:p>
    <w:p>
      <w:pPr>
        <w:pStyle w:val="ListParagraph"/>
        <w:numPr>
          <w:ilvl w:val="0"/>
          <w:numId w:val="2"/>
        </w:numPr>
        <w:spacing w:after="100" w:line="264"/>
      </w:pPr>
      <w:r>
        <w:rPr>
          <w:sz w:val="22"/>
          <w:szCs w:val="22"/>
        </w:rPr>
        <w:t xml:space="preserve">Use constraint-driven layout tools with real-time design-rule checking for impedance and length matching.</w:t>
      </w:r>
    </w:p>
    <w:p>
      <w:pPr>
        <w:pStyle w:val="ListParagraph"/>
        <w:numPr>
          <w:ilvl w:val="0"/>
          <w:numId w:val="2"/>
        </w:numPr>
        <w:spacing w:after="100" w:line="264"/>
      </w:pPr>
      <w:r>
        <w:rPr>
          <w:sz w:val="22"/>
          <w:szCs w:val="22"/>
        </w:rPr>
        <w:t xml:space="preserve">Often maintain in-house pre-compliance chambers or TEM cells for early iteration ahead of formal certification.</w:t>
      </w:r>
    </w:p>
    <w:p>
      <w:pPr>
        <w:pStyle w:val="ListParagraph"/>
        <w:numPr>
          <w:ilvl w:val="0"/>
          <w:numId w:val="2"/>
        </w:numPr>
        <w:spacing w:after="100" w:line="264"/>
      </w:pPr>
      <w:r>
        <w:rPr>
          <w:sz w:val="22"/>
          <w:szCs w:val="22"/>
        </w:rPr>
        <w:t xml:space="preserve">Still rely heavily on empirical measurement (TDR, VNA) on bring-up boards — simulation predicts, measurement confirms.</w:t>
      </w:r>
    </w:p>
    <w:p>
      <w:pPr>
        <w:pStyle w:val="Heading2"/>
        <w:spacing w:after="120" w:before="280"/>
      </w:pPr>
      <w:r>
        <w:rPr>
          <w:b/>
          <w:bCs/>
          <w:color w:val="1F4E79"/>
          <w:sz w:val="24"/>
          <w:szCs w:val="24"/>
        </w:rPr>
        <w:t xml:space="preserve">3.2 Mid-size companies without a dedicated specialist</w:t>
      </w:r>
    </w:p>
    <w:p>
      <w:pPr>
        <w:pStyle w:val="ListParagraph"/>
        <w:numPr>
          <w:ilvl w:val="0"/>
          <w:numId w:val="2"/>
        </w:numPr>
        <w:spacing w:after="100" w:line="264"/>
      </w:pPr>
      <w:r>
        <w:rPr>
          <w:sz w:val="22"/>
          <w:szCs w:val="22"/>
        </w:rPr>
        <w:t xml:space="preserve">Lean on rule-based design guidelines as a substitute for full EM simulation (IPC-2141/2152, JEDEC decoupling application notes, vendor reference designs).</w:t>
      </w:r>
    </w:p>
    <w:p>
      <w:pPr>
        <w:pStyle w:val="ListParagraph"/>
        <w:numPr>
          <w:ilvl w:val="0"/>
          <w:numId w:val="2"/>
        </w:numPr>
        <w:spacing w:after="100" w:line="264"/>
      </w:pPr>
      <w:r>
        <w:rPr>
          <w:sz w:val="22"/>
          <w:szCs w:val="22"/>
        </w:rPr>
        <w:t xml:space="preserve">Use lighter-weight tools instead of full 3D EM solvers: Saturn-class calculators, Altium’s built-in SI extension, Polar Si9000/Speedstack, spreadsheet-based power-delivery-network target-impedance calculations.</w:t>
      </w:r>
    </w:p>
    <w:p>
      <w:pPr>
        <w:pStyle w:val="ListParagraph"/>
        <w:numPr>
          <w:ilvl w:val="0"/>
          <w:numId w:val="2"/>
        </w:numPr>
        <w:spacing w:after="100" w:line="264"/>
      </w:pPr>
      <w:r>
        <w:rPr>
          <w:sz w:val="22"/>
          <w:szCs w:val="22"/>
        </w:rPr>
        <w:t xml:space="preserve">Bring in part-time or contract SI/EMC consultants at key milestones rather than staffing full-time.</w:t>
      </w:r>
    </w:p>
    <w:p>
      <w:pPr>
        <w:pStyle w:val="ListParagraph"/>
        <w:numPr>
          <w:ilvl w:val="0"/>
          <w:numId w:val="2"/>
        </w:numPr>
        <w:spacing w:after="100" w:line="264"/>
      </w:pPr>
      <w:r>
        <w:rPr>
          <w:sz w:val="22"/>
          <w:szCs w:val="22"/>
        </w:rPr>
        <w:t xml:space="preserve">Run in-house pre-compliance scanning (near-field probe plus spectrum analyzer) or purchase limited time at a local EMC lab ahead of certified testing.</w:t>
      </w:r>
    </w:p>
    <w:p>
      <w:pPr>
        <w:pStyle w:val="Heading2"/>
        <w:spacing w:after="120" w:before="280"/>
      </w:pPr>
      <w:r>
        <w:rPr>
          <w:b/>
          <w:bCs/>
          <w:color w:val="1F4E79"/>
          <w:sz w:val="24"/>
          <w:szCs w:val="24"/>
        </w:rPr>
        <w:t xml:space="preserve">3.3 Small companies and startups</w:t>
      </w:r>
    </w:p>
    <w:p>
      <w:pPr>
        <w:pStyle w:val="ListParagraph"/>
        <w:numPr>
          <w:ilvl w:val="0"/>
          <w:numId w:val="2"/>
        </w:numPr>
        <w:spacing w:after="100" w:line="264"/>
      </w:pPr>
      <w:r>
        <w:rPr>
          <w:sz w:val="22"/>
          <w:szCs w:val="22"/>
        </w:rPr>
        <w:t xml:space="preserve">Apply heuristics from datasheets and application notes: via stitching spacing, return-path continuity, decoupling capacitor placement and values, keep-out zones around clocks and switching regulators.</w:t>
      </w:r>
    </w:p>
    <w:p>
      <w:pPr>
        <w:pStyle w:val="ListParagraph"/>
        <w:numPr>
          <w:ilvl w:val="0"/>
          <w:numId w:val="2"/>
        </w:numPr>
        <w:spacing w:after="100" w:line="264"/>
      </w:pPr>
      <w:r>
        <w:rPr>
          <w:sz w:val="22"/>
          <w:szCs w:val="22"/>
        </w:rPr>
        <w:t xml:space="preserve">Treat the certified test house as the de facto SME, with a reactive feedback loop: fail → apply a fix (ferrite bead, gap fill, layout change) → respin → retest.</w:t>
      </w:r>
    </w:p>
    <w:p>
      <w:pPr>
        <w:pStyle w:val="ListParagraph"/>
        <w:numPr>
          <w:ilvl w:val="0"/>
          <w:numId w:val="2"/>
        </w:numPr>
        <w:spacing w:after="100" w:line="264"/>
      </w:pPr>
      <w:r>
        <w:rPr>
          <w:sz w:val="22"/>
          <w:szCs w:val="22"/>
        </w:rPr>
        <w:t xml:space="preserve">This approach is slower and more expensive per iteration, but the underlying rule-of-thumb physics (loop area, return paths, decoupling) typically gets a design most of the way there even without simulation.</w:t>
      </w:r>
    </w:p>
    <w:p>
      <w:pPr>
        <w:pStyle w:val="Heading2"/>
        <w:spacing w:after="120" w:before="280"/>
      </w:pPr>
      <w:r>
        <w:rPr>
          <w:b/>
          <w:bCs/>
          <w:color w:val="1F4E79"/>
          <w:sz w:val="24"/>
          <w:szCs w:val="24"/>
        </w:rPr>
        <w:t xml:space="preserve">3.4 A pattern that holds across all company sizes</w:t>
      </w:r>
    </w:p>
    <w:p>
      <w:pPr>
        <w:spacing w:after="160" w:line="276"/>
      </w:pPr>
      <w:r>
        <w:rPr>
          <w:i w:val="false"/>
          <w:iCs w:val="false"/>
          <w:sz w:val="22"/>
          <w:szCs w:val="22"/>
        </w:rPr>
        <w:t xml:space="preserve">Simulation-first design is rarer than commonly assumed even at large companies, because building accurate 3D EM models (correct stackup, real component behavioral models, connector and cable environment) is expensive in engineering time, and real-world parasitics often surface issues that models miss. There is a broad industry bias toward measurement-driven iteration over pure prediction — simulating only the parts that are cheap to simulate and hard to get right by rule of thumb, while relying on heuristics and bring-up measurement for everything else.</w:t>
      </w:r>
    </w:p>
    <w:p>
      <w:pPr>
        <w:pStyle w:val="Heading1"/>
        <w:spacing w:after="160" w:before="360"/>
      </w:pPr>
      <w:r>
        <w:rPr>
          <w:b/>
          <w:bCs/>
          <w:color w:val="1F4E79"/>
          <w:sz w:val="30"/>
          <w:szCs w:val="30"/>
        </w:rPr>
        <w:t xml:space="preserve">4. Relative Risk: High-Speed Interfaces Most Likely to Fail Rule-of-Thumb Design</w:t>
      </w:r>
    </w:p>
    <w:p>
      <w:pPr>
        <w:spacing w:after="160" w:line="276"/>
      </w:pPr>
      <w:r>
        <w:rPr>
          <w:i w:val="false"/>
          <w:iCs w:val="false"/>
          <w:sz w:val="22"/>
          <w:szCs w:val="22"/>
        </w:rPr>
        <w:t xml:space="preserve">Ranked from most likely to require simulation or outside expertise beyond standard rule-of-thumb layout practice at a small hardware company, to least likely.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7560"/>
      </w:tblGrid>
      <w:tr>
        <w:trPr>
          <w:cantSplit/>
          <w:tblHeader/>
        </w:trPr>
        <w:tc>
          <w:tcPr>
            <w:tcW w:type="dxa" w:w="1500"/>
            <w:shd w:fill="1F4E79" w:color="auto" w:val="clear"/>
            <w:tcMar>
              <w:top w:type="dxa" w:w="80"/>
              <w:left w:type="dxa" w:w="100"/>
              <w:bottom w:type="dxa" w:w="80"/>
              <w:right w:type="dxa" w:w="100"/>
            </w:tcMar>
          </w:tcPr>
          <w:p>
            <w:r>
              <w:rPr>
                <w:b/>
                <w:bCs/>
                <w:color w:val="FFFFFF"/>
                <w:sz w:val="20"/>
                <w:szCs w:val="20"/>
              </w:rPr>
              <w:t xml:space="preserve">Rank</w:t>
            </w:r>
          </w:p>
        </w:tc>
        <w:tc>
          <w:tcPr>
            <w:tcW w:type="dxa" w:w="3300"/>
            <w:shd w:fill="1F4E79" w:color="auto" w:val="clear"/>
            <w:tcMar>
              <w:top w:type="dxa" w:w="80"/>
              <w:left w:type="dxa" w:w="100"/>
              <w:bottom w:type="dxa" w:w="80"/>
              <w:right w:type="dxa" w:w="100"/>
            </w:tcMar>
          </w:tcPr>
          <w:p>
            <w:r>
              <w:rPr>
                <w:b/>
                <w:bCs/>
                <w:color w:val="FFFFFF"/>
                <w:sz w:val="20"/>
                <w:szCs w:val="20"/>
              </w:rPr>
              <w:t xml:space="preserve">Interface</w:t>
            </w:r>
          </w:p>
        </w:tc>
        <w:tc>
          <w:tcPr>
            <w:tcW w:type="dxa" w:w="7560"/>
            <w:shd w:fill="1F4E79" w:color="auto" w:val="clear"/>
            <w:tcMar>
              <w:top w:type="dxa" w:w="80"/>
              <w:left w:type="dxa" w:w="100"/>
              <w:bottom w:type="dxa" w:w="80"/>
              <w:right w:type="dxa" w:w="100"/>
            </w:tcMar>
          </w:tcPr>
          <w:p>
            <w:r>
              <w:rPr>
                <w:b/>
                <w:bCs/>
                <w:color w:val="FFFFFF"/>
                <w:sz w:val="20"/>
                <w:szCs w:val="20"/>
              </w:rPr>
              <w:t xml:space="preserve">Primary Difficulty Driver</w:t>
            </w:r>
          </w:p>
        </w:tc>
      </w:tr>
      <w:tr>
        <w:trPr>
          <w:cantSplit/>
        </w:trPr>
        <w:tc>
          <w:tcPr>
            <w:tcW w:type="dxa" w:w="1500"/>
            <w:tcMar>
              <w:top w:type="dxa" w:w="80"/>
              <w:left w:type="dxa" w:w="100"/>
              <w:bottom w:type="dxa" w:w="80"/>
              <w:right w:type="dxa" w:w="100"/>
            </w:tcMar>
          </w:tcPr>
          <w:p>
            <w:r>
              <w:rPr>
                <w:sz w:val="20"/>
                <w:szCs w:val="20"/>
              </w:rPr>
              <w:t xml:space="preserve">1 (hardest)</w:t>
            </w:r>
          </w:p>
        </w:tc>
        <w:tc>
          <w:tcPr>
            <w:tcW w:type="dxa" w:w="3300"/>
            <w:tcMar>
              <w:top w:type="dxa" w:w="80"/>
              <w:left w:type="dxa" w:w="100"/>
              <w:bottom w:type="dxa" w:w="80"/>
              <w:right w:type="dxa" w:w="100"/>
            </w:tcMar>
          </w:tcPr>
          <w:p>
            <w:r>
              <w:rPr>
                <w:sz w:val="20"/>
                <w:szCs w:val="20"/>
              </w:rPr>
              <w:t xml:space="preserve">DRAM (DDR3/DDR4/LPDDR4/LPDDR5)</w:t>
            </w:r>
          </w:p>
        </w:tc>
        <w:tc>
          <w:tcPr>
            <w:tcW w:type="dxa" w:w="7560"/>
            <w:tcMar>
              <w:top w:type="dxa" w:w="80"/>
              <w:left w:type="dxa" w:w="100"/>
              <w:bottom w:type="dxa" w:w="80"/>
              <w:right w:type="dxa" w:w="100"/>
            </w:tcMar>
          </w:tcPr>
          <w:p>
            <w:r>
              <w:rPr>
                <w:sz w:val="20"/>
                <w:szCs w:val="20"/>
              </w:rPr>
              <w:t xml:space="preserve">Parallel bus of 100+ coordinated nets; fly-by topology and ODT tuning; sensitive VREF/VTT rails; crosstalk between adjacent lines; failures often intermittent and hard to debug.</w:t>
            </w:r>
          </w:p>
        </w:tc>
      </w:tr>
      <w:tr>
        <w:trPr>
          <w:cantSplit/>
        </w:trPr>
        <w:tc>
          <w:tcPr>
            <w:tcW w:type="dxa" w:w="1500"/>
            <w:shd w:fill="DCE6F1" w:color="auto" w:val="clear"/>
            <w:tcMar>
              <w:top w:type="dxa" w:w="80"/>
              <w:left w:type="dxa" w:w="100"/>
              <w:bottom w:type="dxa" w:w="80"/>
              <w:right w:type="dxa" w:w="100"/>
            </w:tcMar>
          </w:tcPr>
          <w:p>
            <w:r>
              <w:rPr>
                <w:sz w:val="20"/>
                <w:szCs w:val="20"/>
              </w:rPr>
              <w:t xml:space="preserve">2</w:t>
            </w:r>
          </w:p>
        </w:tc>
        <w:tc>
          <w:tcPr>
            <w:tcW w:type="dxa" w:w="3300"/>
            <w:shd w:fill="DCE6F1" w:color="auto" w:val="clear"/>
            <w:tcMar>
              <w:top w:type="dxa" w:w="80"/>
              <w:left w:type="dxa" w:w="100"/>
              <w:bottom w:type="dxa" w:w="80"/>
              <w:right w:type="dxa" w:w="100"/>
            </w:tcMar>
          </w:tcPr>
          <w:p>
            <w:r>
              <w:rPr>
                <w:sz w:val="20"/>
                <w:szCs w:val="20"/>
              </w:rPr>
              <w:t xml:space="preserve">PCIe Gen3 and above</w:t>
            </w:r>
          </w:p>
        </w:tc>
        <w:tc>
          <w:tcPr>
            <w:tcW w:type="dxa" w:w="7560"/>
            <w:shd w:fill="DCE6F1" w:color="auto" w:val="clear"/>
            <w:tcMar>
              <w:top w:type="dxa" w:w="80"/>
              <w:left w:type="dxa" w:w="100"/>
              <w:bottom w:type="dxa" w:w="80"/>
              <w:right w:type="dxa" w:w="100"/>
            </w:tcMar>
          </w:tcPr>
          <w:p>
            <w:r>
              <w:rPr>
                <w:sz w:val="20"/>
                <w:szCs w:val="20"/>
              </w:rPr>
              <w:t xml:space="preserve">Tightening insertion-loss budget at 8 GT/s+; via stub resonance (often requires backdrilling); real eye-diagram/jitter compliance testing needed, not just assumed.</w:t>
            </w:r>
          </w:p>
        </w:tc>
      </w:tr>
      <w:tr>
        <w:trPr>
          <w:cantSplit/>
        </w:trPr>
        <w:tc>
          <w:tcPr>
            <w:tcW w:type="dxa" w:w="1500"/>
            <w:tcMar>
              <w:top w:type="dxa" w:w="80"/>
              <w:left w:type="dxa" w:w="100"/>
              <w:bottom w:type="dxa" w:w="80"/>
              <w:right w:type="dxa" w:w="100"/>
            </w:tcMar>
          </w:tcPr>
          <w:p>
            <w:r>
              <w:rPr>
                <w:sz w:val="20"/>
                <w:szCs w:val="20"/>
              </w:rPr>
              <w:t xml:space="preserve">3</w:t>
            </w:r>
          </w:p>
        </w:tc>
        <w:tc>
          <w:tcPr>
            <w:tcW w:type="dxa" w:w="3300"/>
            <w:tcMar>
              <w:top w:type="dxa" w:w="80"/>
              <w:left w:type="dxa" w:w="100"/>
              <w:bottom w:type="dxa" w:w="80"/>
              <w:right w:type="dxa" w:w="100"/>
            </w:tcMar>
          </w:tcPr>
          <w:p>
            <w:r>
              <w:rPr>
                <w:sz w:val="20"/>
                <w:szCs w:val="20"/>
              </w:rPr>
              <w:t xml:space="preserve">HDMI</w:t>
            </w:r>
          </w:p>
        </w:tc>
        <w:tc>
          <w:tcPr>
            <w:tcW w:type="dxa" w:w="7560"/>
            <w:tcMar>
              <w:top w:type="dxa" w:w="80"/>
              <w:left w:type="dxa" w:w="100"/>
              <w:bottom w:type="dxa" w:w="80"/>
              <w:right w:type="dxa" w:w="100"/>
            </w:tcMar>
          </w:tcPr>
          <w:p>
            <w:r>
              <w:rPr>
                <w:sz w:val="20"/>
                <w:szCs w:val="20"/>
              </w:rPr>
              <w:t xml:space="preserve">TMDS pairs need decent impedance control, but the main risk is EMI/emissions rather than signal integrity — tends to pass SI review and then fail radiated-emissions testing.</w:t>
            </w:r>
          </w:p>
        </w:tc>
      </w:tr>
      <w:tr>
        <w:trPr>
          <w:cantSplit/>
        </w:trPr>
        <w:tc>
          <w:tcPr>
            <w:tcW w:type="dxa" w:w="1500"/>
            <w:shd w:fill="DCE6F1" w:color="auto" w:val="clear"/>
            <w:tcMar>
              <w:top w:type="dxa" w:w="80"/>
              <w:left w:type="dxa" w:w="100"/>
              <w:bottom w:type="dxa" w:w="80"/>
              <w:right w:type="dxa" w:w="100"/>
            </w:tcMar>
          </w:tcPr>
          <w:p>
            <w:r>
              <w:rPr>
                <w:sz w:val="20"/>
                <w:szCs w:val="20"/>
              </w:rPr>
              <w:t xml:space="preserve">4</w:t>
            </w:r>
          </w:p>
        </w:tc>
        <w:tc>
          <w:tcPr>
            <w:tcW w:type="dxa" w:w="3300"/>
            <w:shd w:fill="DCE6F1" w:color="auto" w:val="clear"/>
            <w:tcMar>
              <w:top w:type="dxa" w:w="80"/>
              <w:left w:type="dxa" w:w="100"/>
              <w:bottom w:type="dxa" w:w="80"/>
              <w:right w:type="dxa" w:w="100"/>
            </w:tcMar>
          </w:tcPr>
          <w:p>
            <w:r>
              <w:rPr>
                <w:sz w:val="20"/>
                <w:szCs w:val="20"/>
              </w:rPr>
              <w:t xml:space="preserve">eMMC (especially HS400 mode)</w:t>
            </w:r>
          </w:p>
        </w:tc>
        <w:tc>
          <w:tcPr>
            <w:tcW w:type="dxa" w:w="7560"/>
            <w:shd w:fill="DCE6F1" w:color="auto" w:val="clear"/>
            <w:tcMar>
              <w:top w:type="dxa" w:w="80"/>
              <w:left w:type="dxa" w:w="100"/>
              <w:bottom w:type="dxa" w:w="80"/>
              <w:right w:type="dxa" w:w="100"/>
            </w:tcMar>
          </w:tcPr>
          <w:p>
            <w:r>
              <w:rPr>
                <w:sz w:val="20"/>
                <w:szCs w:val="20"/>
              </w:rPr>
              <w:t xml:space="preserve">DDR-like data/strobe skew requirements, but usually short and point-to-point; risk concentrated in deviating from the vendor’s reference routing guide.</w:t>
            </w:r>
          </w:p>
        </w:tc>
      </w:tr>
      <w:tr>
        <w:trPr>
          <w:cantSplit/>
        </w:trPr>
        <w:tc>
          <w:tcPr>
            <w:tcW w:type="dxa" w:w="1500"/>
            <w:tcMar>
              <w:top w:type="dxa" w:w="80"/>
              <w:left w:type="dxa" w:w="100"/>
              <w:bottom w:type="dxa" w:w="80"/>
              <w:right w:type="dxa" w:w="100"/>
            </w:tcMar>
          </w:tcPr>
          <w:p>
            <w:r>
              <w:rPr>
                <w:sz w:val="20"/>
                <w:szCs w:val="20"/>
              </w:rPr>
              <w:t xml:space="preserve">5</w:t>
            </w:r>
          </w:p>
        </w:tc>
        <w:tc>
          <w:tcPr>
            <w:tcW w:type="dxa" w:w="3300"/>
            <w:tcMar>
              <w:top w:type="dxa" w:w="80"/>
              <w:left w:type="dxa" w:w="100"/>
              <w:bottom w:type="dxa" w:w="80"/>
              <w:right w:type="dxa" w:w="100"/>
            </w:tcMar>
          </w:tcPr>
          <w:p>
            <w:r>
              <w:rPr>
                <w:sz w:val="20"/>
                <w:szCs w:val="20"/>
              </w:rPr>
              <w:t xml:space="preserve">USB 3.x SuperSpeed</w:t>
            </w:r>
          </w:p>
        </w:tc>
        <w:tc>
          <w:tcPr>
            <w:tcW w:type="dxa" w:w="7560"/>
            <w:tcMar>
              <w:top w:type="dxa" w:w="80"/>
              <w:left w:type="dxa" w:w="100"/>
              <w:bottom w:type="dxa" w:w="80"/>
              <w:right w:type="dxa" w:w="100"/>
            </w:tcMar>
          </w:tcPr>
          <w:p>
            <w:r>
              <w:rPr>
                <w:sz w:val="20"/>
                <w:szCs w:val="20"/>
              </w:rPr>
              <w:t xml:space="preserve">Real impedance and length-matching requirements, but a mature ecosystem with abundant reference designs and forgiving connector/cable assemblies.</w:t>
            </w:r>
          </w:p>
        </w:tc>
      </w:tr>
      <w:tr>
        <w:trPr>
          <w:cantSplit/>
        </w:trPr>
        <w:tc>
          <w:tcPr>
            <w:tcW w:type="dxa" w:w="1500"/>
            <w:shd w:fill="DCE6F1" w:color="auto" w:val="clear"/>
            <w:tcMar>
              <w:top w:type="dxa" w:w="80"/>
              <w:left w:type="dxa" w:w="100"/>
              <w:bottom w:type="dxa" w:w="80"/>
              <w:right w:type="dxa" w:w="100"/>
            </w:tcMar>
          </w:tcPr>
          <w:p>
            <w:r>
              <w:rPr>
                <w:sz w:val="20"/>
                <w:szCs w:val="20"/>
              </w:rPr>
              <w:t xml:space="preserve">6 (easiest)</w:t>
            </w:r>
          </w:p>
        </w:tc>
        <w:tc>
          <w:tcPr>
            <w:tcW w:type="dxa" w:w="3300"/>
            <w:shd w:fill="DCE6F1" w:color="auto" w:val="clear"/>
            <w:tcMar>
              <w:top w:type="dxa" w:w="80"/>
              <w:left w:type="dxa" w:w="100"/>
              <w:bottom w:type="dxa" w:w="80"/>
              <w:right w:type="dxa" w:w="100"/>
            </w:tcMar>
          </w:tcPr>
          <w:p>
            <w:r>
              <w:rPr>
                <w:sz w:val="20"/>
                <w:szCs w:val="20"/>
              </w:rPr>
              <w:t xml:space="preserve">USB 2.0</w:t>
            </w:r>
          </w:p>
        </w:tc>
        <w:tc>
          <w:tcPr>
            <w:tcW w:type="dxa" w:w="7560"/>
            <w:shd w:fill="DCE6F1" w:color="auto" w:val="clear"/>
            <w:tcMar>
              <w:top w:type="dxa" w:w="80"/>
              <w:left w:type="dxa" w:w="100"/>
              <w:bottom w:type="dxa" w:w="80"/>
              <w:right w:type="dxa" w:w="100"/>
            </w:tcMar>
          </w:tcPr>
          <w:p>
            <w:r>
              <w:rPr>
                <w:sz w:val="20"/>
                <w:szCs w:val="20"/>
              </w:rPr>
              <w:t xml:space="preserve">Low data rate (480 Mbps) with wide tolerance on impedance and length matching; decades of mature, forgiving design collateral.</w:t>
            </w:r>
          </w:p>
        </w:tc>
      </w:tr>
    </w:tbl>
    <w:p>
      <w:pPr>
        <w:spacing w:after="240" w:before="60"/>
      </w:pPr>
      <w:r>
        <w:rPr>
          <w:i/>
          <w:iCs/>
          <w:color w:val="595959"/>
          <w:sz w:val="18"/>
          <w:szCs w:val="18"/>
        </w:rPr>
        <w:t xml:space="preserve">Difficulty tracks three factors: (1) how many nets must stay coordinated relative to one another, (2) how much timing/insertion-loss margin the standard allows at the data rate in use, and (3) how mature and forgiving the connector/cable ecosystem is. DRAM scores worst on all three.</w:t>
      </w:r>
    </w:p>
    <w:p>
      <w:pPr>
        <w:pStyle w:val="Heading1"/>
        <w:spacing w:after="160" w:before="360"/>
      </w:pPr>
      <w:r>
        <w:rPr>
          <w:b/>
          <w:bCs/>
          <w:color w:val="1F4E79"/>
          <w:sz w:val="30"/>
          <w:szCs w:val="30"/>
        </w:rPr>
        <w:t xml:space="preserve">5. Market Sizing: A Productized gerbers2ems</w:t>
      </w:r>
    </w:p>
    <w:p>
      <w:pPr>
        <w:spacing w:after="160" w:line="276"/>
      </w:pPr>
      <w:r>
        <w:rPr>
          <w:i w:val="false"/>
          <w:iCs w:val="false"/>
          <w:sz w:val="22"/>
          <w:szCs w:val="22"/>
        </w:rPr>
        <w:t xml:space="preserve">This section estimates the Total Addressable Market for a hypothetical cloud-based, GUI-driven, commercially supported version of gerbers2ems targeting hardware startups and SMBs that currently lack an in-house SI/EMC specialist.</w:t>
      </w:r>
    </w:p>
    <w:p>
      <w:pPr>
        <w:pStyle w:val="Heading2"/>
        <w:spacing w:after="120" w:before="280"/>
      </w:pPr>
      <w:r>
        <w:rPr>
          <w:b/>
          <w:bCs/>
          <w:color w:val="1F4E79"/>
          <w:sz w:val="24"/>
          <w:szCs w:val="24"/>
        </w:rPr>
        <w:t xml:space="preserve">5.1 Bottom-up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gridCol w:w="6060"/>
      </w:tblGrid>
      <w:tr>
        <w:trPr>
          <w:cantSplit/>
          <w:tblHeader/>
        </w:trPr>
        <w:tc>
          <w:tcPr>
            <w:tcW w:type="dxa" w:w="4800"/>
            <w:shd w:fill="1F4E79" w:color="auto" w:val="clear"/>
            <w:tcMar>
              <w:top w:type="dxa" w:w="80"/>
              <w:left w:type="dxa" w:w="100"/>
              <w:bottom w:type="dxa" w:w="80"/>
              <w:right w:type="dxa" w:w="100"/>
            </w:tcMar>
          </w:tcPr>
          <w:p>
            <w:r>
              <w:rPr>
                <w:b/>
                <w:bCs/>
                <w:color w:val="FFFFFF"/>
                <w:sz w:val="20"/>
                <w:szCs w:val="20"/>
              </w:rPr>
              <w:t xml:space="preserve">Filter</w:t>
            </w:r>
          </w:p>
        </w:tc>
        <w:tc>
          <w:tcPr>
            <w:tcW w:type="dxa" w:w="2500"/>
            <w:shd w:fill="1F4E79" w:color="auto" w:val="clear"/>
            <w:tcMar>
              <w:top w:type="dxa" w:w="80"/>
              <w:left w:type="dxa" w:w="100"/>
              <w:bottom w:type="dxa" w:w="80"/>
              <w:right w:type="dxa" w:w="100"/>
            </w:tcMar>
          </w:tcPr>
          <w:p>
            <w:r>
              <w:rPr>
                <w:b/>
                <w:bCs/>
                <w:color w:val="FFFFFF"/>
                <w:sz w:val="20"/>
                <w:szCs w:val="20"/>
              </w:rPr>
              <w:t xml:space="preserve">Population</w:t>
            </w:r>
          </w:p>
        </w:tc>
        <w:tc>
          <w:tcPr>
            <w:tcW w:type="dxa" w:w="6060"/>
            <w:shd w:fill="1F4E79" w:color="auto" w:val="clear"/>
            <w:tcMar>
              <w:top w:type="dxa" w:w="80"/>
              <w:left w:type="dxa" w:w="100"/>
              <w:bottom w:type="dxa" w:w="80"/>
              <w:right w:type="dxa" w:w="100"/>
            </w:tcMar>
          </w:tcPr>
          <w:p>
            <w:r>
              <w:rPr>
                <w:b/>
                <w:bCs/>
                <w:color w:val="FFFFFF"/>
                <w:sz w:val="20"/>
                <w:szCs w:val="20"/>
              </w:rPr>
              <w:t xml:space="preserve">Rationale</w:t>
            </w:r>
          </w:p>
        </w:tc>
      </w:tr>
      <w:tr>
        <w:trPr>
          <w:cantSplit/>
        </w:trPr>
        <w:tc>
          <w:tcPr>
            <w:tcW w:type="dxa" w:w="4800"/>
            <w:tcMar>
              <w:top w:type="dxa" w:w="80"/>
              <w:left w:type="dxa" w:w="100"/>
              <w:bottom w:type="dxa" w:w="80"/>
              <w:right w:type="dxa" w:w="100"/>
            </w:tcMar>
          </w:tcPr>
          <w:p>
            <w:r>
              <w:rPr>
                <w:sz w:val="20"/>
                <w:szCs w:val="20"/>
              </w:rPr>
              <w:t xml:space="preserve">Global hardware startups / SMBs actively designing PCBs</w:t>
            </w:r>
          </w:p>
        </w:tc>
        <w:tc>
          <w:tcPr>
            <w:tcW w:type="dxa" w:w="2500"/>
            <w:tcMar>
              <w:top w:type="dxa" w:w="80"/>
              <w:left w:type="dxa" w:w="100"/>
              <w:bottom w:type="dxa" w:w="80"/>
              <w:right w:type="dxa" w:w="100"/>
            </w:tcMar>
          </w:tcPr>
          <w:p>
            <w:r>
              <w:rPr>
                <w:sz w:val="20"/>
                <w:szCs w:val="20"/>
              </w:rPr>
              <w:t xml:space="preserve">~50,000–80,000</w:t>
            </w:r>
          </w:p>
        </w:tc>
        <w:tc>
          <w:tcPr>
            <w:tcW w:type="dxa" w:w="6060"/>
            <w:tcMar>
              <w:top w:type="dxa" w:w="80"/>
              <w:left w:type="dxa" w:w="100"/>
              <w:bottom w:type="dxa" w:w="80"/>
              <w:right w:type="dxa" w:w="100"/>
            </w:tcMar>
          </w:tcPr>
          <w:p>
            <w:r>
              <w:rPr>
                <w:sz w:val="20"/>
                <w:szCs w:val="20"/>
              </w:rPr>
              <w:t xml:space="preserve">Rough count of funded hardware startups plus small-to-mid electronics product companies worldwide</w:t>
            </w:r>
          </w:p>
        </w:tc>
      </w:tr>
      <w:tr>
        <w:trPr>
          <w:cantSplit/>
        </w:trPr>
        <w:tc>
          <w:tcPr>
            <w:tcW w:type="dxa" w:w="4800"/>
            <w:shd w:fill="DCE6F1" w:color="auto" w:val="clear"/>
            <w:tcMar>
              <w:top w:type="dxa" w:w="80"/>
              <w:left w:type="dxa" w:w="100"/>
              <w:bottom w:type="dxa" w:w="80"/>
              <w:right w:type="dxa" w:w="100"/>
            </w:tcMar>
          </w:tcPr>
          <w:p>
            <w:r>
              <w:rPr>
                <w:sz w:val="20"/>
                <w:szCs w:val="20"/>
              </w:rPr>
              <w:t xml:space="preserve">...with meaningful high-speed content (USB3+, PCIe, DDR, HDMI, RF)</w:t>
            </w:r>
          </w:p>
        </w:tc>
        <w:tc>
          <w:tcPr>
            <w:tcW w:type="dxa" w:w="2500"/>
            <w:shd w:fill="DCE6F1" w:color="auto" w:val="clear"/>
            <w:tcMar>
              <w:top w:type="dxa" w:w="80"/>
              <w:left w:type="dxa" w:w="100"/>
              <w:bottom w:type="dxa" w:w="80"/>
              <w:right w:type="dxa" w:w="100"/>
            </w:tcMar>
          </w:tcPr>
          <w:p>
            <w:r>
              <w:rPr>
                <w:sz w:val="20"/>
                <w:szCs w:val="20"/>
              </w:rPr>
              <w:t xml:space="preserve">~60% → ~35,000</w:t>
            </w:r>
          </w:p>
        </w:tc>
        <w:tc>
          <w:tcPr>
            <w:tcW w:type="dxa" w:w="6060"/>
            <w:shd w:fill="DCE6F1" w:color="auto" w:val="clear"/>
            <w:tcMar>
              <w:top w:type="dxa" w:w="80"/>
              <w:left w:type="dxa" w:w="100"/>
              <w:bottom w:type="dxa" w:w="80"/>
              <w:right w:type="dxa" w:w="100"/>
            </w:tcMar>
          </w:tcPr>
          <w:p>
            <w:r>
              <w:rPr>
                <w:sz w:val="20"/>
                <w:szCs w:val="20"/>
              </w:rPr>
              <w:t xml:space="preserve">Most modern electronic products touch at least one high-speed interface</w:t>
            </w:r>
          </w:p>
        </w:tc>
      </w:tr>
      <w:tr>
        <w:trPr>
          <w:cantSplit/>
        </w:trPr>
        <w:tc>
          <w:tcPr>
            <w:tcW w:type="dxa" w:w="4800"/>
            <w:tcMar>
              <w:top w:type="dxa" w:w="80"/>
              <w:left w:type="dxa" w:w="100"/>
              <w:bottom w:type="dxa" w:w="80"/>
              <w:right w:type="dxa" w:w="100"/>
            </w:tcMar>
          </w:tcPr>
          <w:p>
            <w:r>
              <w:rPr>
                <w:sz w:val="20"/>
                <w:szCs w:val="20"/>
              </w:rPr>
              <w:t xml:space="preserve">...too small to have an in-house SI/EMC specialist</w:t>
            </w:r>
          </w:p>
        </w:tc>
        <w:tc>
          <w:tcPr>
            <w:tcW w:type="dxa" w:w="2500"/>
            <w:tcMar>
              <w:top w:type="dxa" w:w="80"/>
              <w:left w:type="dxa" w:w="100"/>
              <w:bottom w:type="dxa" w:w="80"/>
              <w:right w:type="dxa" w:w="100"/>
            </w:tcMar>
          </w:tcPr>
          <w:p>
            <w:r>
              <w:rPr>
                <w:sz w:val="20"/>
                <w:szCs w:val="20"/>
              </w:rPr>
              <w:t xml:space="preserve">~80% → ~28,000</w:t>
            </w:r>
          </w:p>
        </w:tc>
        <w:tc>
          <w:tcPr>
            <w:tcW w:type="dxa" w:w="6060"/>
            <w:tcMar>
              <w:top w:type="dxa" w:w="80"/>
              <w:left w:type="dxa" w:w="100"/>
              <w:bottom w:type="dxa" w:w="80"/>
              <w:right w:type="dxa" w:w="100"/>
            </w:tcMar>
          </w:tcPr>
          <w:p>
            <w:r>
              <w:rPr>
                <w:sz w:val="20"/>
                <w:szCs w:val="20"/>
              </w:rPr>
              <w:t xml:space="preserve">This is specifically the underserved target segment; larger companies already hold Ansys/Cadence seats</w:t>
            </w:r>
          </w:p>
        </w:tc>
      </w:tr>
      <w:tr>
        <w:trPr>
          <w:cantSplit/>
        </w:trPr>
        <w:tc>
          <w:tcPr>
            <w:tcW w:type="dxa" w:w="4800"/>
            <w:shd w:fill="DCE6F1" w:color="auto" w:val="clear"/>
            <w:tcMar>
              <w:top w:type="dxa" w:w="80"/>
              <w:left w:type="dxa" w:w="100"/>
              <w:bottom w:type="dxa" w:w="80"/>
              <w:right w:type="dxa" w:w="100"/>
            </w:tcMar>
          </w:tcPr>
          <w:p>
            <w:r>
              <w:rPr>
                <w:sz w:val="20"/>
                <w:szCs w:val="20"/>
              </w:rPr>
              <w:t xml:space="preserve">...willing to pay for a tool rather than rely on rule-of-thumb, a consultant, or free tools</w:t>
            </w:r>
          </w:p>
        </w:tc>
        <w:tc>
          <w:tcPr>
            <w:tcW w:type="dxa" w:w="2500"/>
            <w:shd w:fill="DCE6F1" w:color="auto" w:val="clear"/>
            <w:tcMar>
              <w:top w:type="dxa" w:w="80"/>
              <w:left w:type="dxa" w:w="100"/>
              <w:bottom w:type="dxa" w:w="80"/>
              <w:right w:type="dxa" w:w="100"/>
            </w:tcMar>
          </w:tcPr>
          <w:p>
            <w:r>
              <w:rPr>
                <w:sz w:val="20"/>
                <w:szCs w:val="20"/>
              </w:rPr>
              <w:t xml:space="preserve">~25% → ~7,000</w:t>
            </w:r>
          </w:p>
        </w:tc>
        <w:tc>
          <w:tcPr>
            <w:tcW w:type="dxa" w:w="6060"/>
            <w:shd w:fill="DCE6F1" w:color="auto" w:val="clear"/>
            <w:tcMar>
              <w:top w:type="dxa" w:w="80"/>
              <w:left w:type="dxa" w:w="100"/>
              <w:bottom w:type="dxa" w:w="80"/>
              <w:right w:type="dxa" w:w="100"/>
            </w:tcMar>
          </w:tcPr>
          <w:p>
            <w:r>
              <w:rPr>
                <w:sz w:val="20"/>
                <w:szCs w:val="20"/>
              </w:rPr>
              <w:t xml:space="preserve">The largest haircut in the funnel — adoption friction from free tools, “good enough” heuristics, and inertia</w:t>
            </w:r>
          </w:p>
        </w:tc>
      </w:tr>
    </w:tbl>
    <w:p>
      <w:pPr>
        <w:spacing w:after="160" w:line="276"/>
      </w:pPr>
      <w:r>
        <w:rPr>
          <w:b/>
          <w:bCs/>
          <w:color w:val="1F4E79"/>
          <w:sz w:val="22"/>
          <w:szCs w:val="22"/>
        </w:rPr>
        <w:t xml:space="preserve">Resulting Serviceable Addressable Market (SAM): </w:t>
      </w:r>
      <w:r>
        <w:rPr>
          <w:sz w:val="22"/>
          <w:szCs w:val="22"/>
        </w:rPr>
        <w:t xml:space="preserve">approximately 7,000 companies globally at full penetration of the realistic paying-customer pool.</w:t>
      </w:r>
    </w:p>
    <w:p>
      <w:pPr>
        <w:pStyle w:val="Heading2"/>
        <w:spacing w:after="120" w:before="280"/>
      </w:pPr>
      <w:r>
        <w:rPr>
          <w:b/>
          <w:bCs/>
          <w:color w:val="1F4E79"/>
          <w:sz w:val="24"/>
          <w:szCs w:val="24"/>
        </w:rPr>
        <w:t xml:space="preserve">5.2 Pricing assumptions</w:t>
      </w:r>
    </w:p>
    <w:p>
      <w:pPr>
        <w:pStyle w:val="ListParagraph"/>
        <w:numPr>
          <w:ilvl w:val="0"/>
          <w:numId w:val="2"/>
        </w:numPr>
        <w:spacing w:after="100" w:line="264"/>
      </w:pPr>
      <w:r>
        <w:rPr>
          <w:sz w:val="22"/>
          <w:szCs w:val="22"/>
        </w:rPr>
        <w:t xml:space="preserve">Entry / self-serve tier: ~$300–500 per month (~$4,000–$6,000 per year)</w:t>
      </w:r>
    </w:p>
    <w:p>
      <w:pPr>
        <w:pStyle w:val="ListParagraph"/>
        <w:numPr>
          <w:ilvl w:val="0"/>
          <w:numId w:val="2"/>
        </w:numPr>
        <w:spacing w:after="100" w:line="264"/>
      </w:pPr>
      <w:r>
        <w:rPr>
          <w:sz w:val="22"/>
          <w:szCs w:val="22"/>
        </w:rPr>
        <w:t xml:space="preserve">Team tier with additional compute credits and priority support: ~$1,500–2,500 per month (~$18,000–$30,000 per year)</w:t>
      </w:r>
    </w:p>
    <w:p>
      <w:pPr>
        <w:pStyle w:val="ListParagraph"/>
        <w:numPr>
          <w:ilvl w:val="0"/>
          <w:numId w:val="2"/>
        </w:numPr>
        <w:spacing w:after="100" w:line="264"/>
      </w:pPr>
      <w:r>
        <w:rPr>
          <w:sz w:val="22"/>
          <w:szCs w:val="22"/>
        </w:rPr>
        <w:t xml:space="preserve">Blended average revenue per account: approximately $8,000–$10,000 per year</w:t>
      </w:r>
    </w:p>
    <w:p>
      <w:pPr>
        <w:pStyle w:val="Heading2"/>
        <w:spacing w:after="120" w:before="280"/>
      </w:pPr>
      <w:r>
        <w:rPr>
          <w:b/>
          <w:bCs/>
          <w:color w:val="1F4E79"/>
          <w:sz w:val="24"/>
          <w:szCs w:val="24"/>
        </w:rPr>
        <w:t xml:space="preserve">5.3 TAM estimate</w:t>
      </w:r>
    </w:p>
    <w:p>
      <w:pPr>
        <w:spacing w:after="160" w:line="276"/>
      </w:pPr>
      <w:r>
        <w:rPr>
          <w:b/>
          <w:bCs/>
          <w:color w:val="1F4E79"/>
          <w:sz w:val="22"/>
          <w:szCs w:val="22"/>
        </w:rPr>
        <w:t xml:space="preserve">Base TAM: </w:t>
      </w:r>
      <w:r>
        <w:rPr>
          <w:sz w:val="22"/>
          <w:szCs w:val="22"/>
        </w:rPr>
        <w:t xml:space="preserve">~7,000 companies × ~$9,000/year ≈ $60–65 million per year at full penetration of the realistic addressable segment.</w:t>
      </w:r>
    </w:p>
    <w:p>
      <w:pPr>
        <w:spacing w:after="160" w:line="276"/>
      </w:pPr>
      <w:r>
        <w:rPr>
          <w:b/>
          <w:bCs/>
          <w:color w:val="1F4E79"/>
          <w:sz w:val="22"/>
          <w:szCs w:val="22"/>
        </w:rPr>
        <w:t xml:space="preserve">Generous ceiling TAM: </w:t>
      </w:r>
      <w:r>
        <w:rPr>
          <w:sz w:val="22"/>
          <w:szCs w:val="22"/>
        </w:rPr>
        <w:t xml:space="preserve">including adjacent buyers (larger companies wanting a low-cost sandbox tool alongside an existing HFSS/Sigrity seat, contract EMC labs, university and consultant use), a ceiling of roughly $100–150 million per year. This remains a small niche relative to the broader EDA/SI market, not a billion-dollar category on its current scope.</w:t>
      </w:r>
    </w:p>
    <w:p>
      <w:pPr>
        <w:pStyle w:val="Heading1"/>
        <w:spacing w:after="160" w:before="360"/>
      </w:pPr>
      <w:r>
        <w:rPr>
          <w:b/>
          <w:bCs/>
          <w:color w:val="1F4E79"/>
          <w:sz w:val="30"/>
          <w:szCs w:val="30"/>
        </w:rPr>
        <w:t xml:space="preserve">6. Realistic Revenue Trajectory</w:t>
      </w:r>
    </w:p>
    <w:p>
      <w:pPr>
        <w:spacing w:after="160" w:line="276"/>
      </w:pPr>
      <w:r>
        <w:rPr>
          <w:i w:val="false"/>
          <w:iCs w:val="false"/>
          <w:sz w:val="22"/>
          <w:szCs w:val="22"/>
        </w:rPr>
        <w:t xml:space="preserve">TAM represents a ceiling, not an achievable near-term outcome. Given competition from free/open-source tooling, the brand trust of Ansys and Cadence, and typically slow enterprise-style sales cycles even at small companies, a realistic trajectory looks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400"/>
        <w:gridCol w:w="4380"/>
      </w:tblGrid>
      <w:tr>
        <w:trPr>
          <w:cantSplit/>
          <w:tblHeader/>
        </w:trPr>
        <w:tc>
          <w:tcPr>
            <w:tcW w:type="dxa" w:w="5580"/>
            <w:shd w:fill="1F4E79" w:color="auto" w:val="clear"/>
            <w:tcMar>
              <w:top w:type="dxa" w:w="80"/>
              <w:left w:type="dxa" w:w="100"/>
              <w:bottom w:type="dxa" w:w="80"/>
              <w:right w:type="dxa" w:w="100"/>
            </w:tcMar>
          </w:tcPr>
          <w:p>
            <w:r>
              <w:rPr>
                <w:b/>
                <w:bCs/>
                <w:color w:val="FFFFFF"/>
                <w:sz w:val="20"/>
                <w:szCs w:val="20"/>
              </w:rPr>
              <w:t xml:space="preserve">Stage</w:t>
            </w:r>
          </w:p>
        </w:tc>
        <w:tc>
          <w:tcPr>
            <w:tcW w:type="dxa" w:w="3400"/>
            <w:shd w:fill="1F4E79" w:color="auto" w:val="clear"/>
            <w:tcMar>
              <w:top w:type="dxa" w:w="80"/>
              <w:left w:type="dxa" w:w="100"/>
              <w:bottom w:type="dxa" w:w="80"/>
              <w:right w:type="dxa" w:w="100"/>
            </w:tcMar>
          </w:tcPr>
          <w:p>
            <w:r>
              <w:rPr>
                <w:b/>
                <w:bCs/>
                <w:color w:val="FFFFFF"/>
                <w:sz w:val="20"/>
                <w:szCs w:val="20"/>
              </w:rPr>
              <w:t xml:space="preserve">Penetration of SAM</w:t>
            </w:r>
          </w:p>
        </w:tc>
        <w:tc>
          <w:tcPr>
            <w:tcW w:type="dxa" w:w="4380"/>
            <w:shd w:fill="1F4E79" w:color="auto" w:val="clear"/>
            <w:tcMar>
              <w:top w:type="dxa" w:w="80"/>
              <w:left w:type="dxa" w:w="100"/>
              <w:bottom w:type="dxa" w:w="80"/>
              <w:right w:type="dxa" w:w="100"/>
            </w:tcMar>
          </w:tcPr>
          <w:p>
            <w:r>
              <w:rPr>
                <w:b/>
                <w:bCs/>
                <w:color w:val="FFFFFF"/>
                <w:sz w:val="20"/>
                <w:szCs w:val="20"/>
              </w:rPr>
              <w:t xml:space="preserve">Estimated ARR</w:t>
            </w:r>
          </w:p>
        </w:tc>
      </w:tr>
      <w:tr>
        <w:trPr>
          <w:cantSplit/>
        </w:trPr>
        <w:tc>
          <w:tcPr>
            <w:tcW w:type="dxa" w:w="5580"/>
            <w:tcMar>
              <w:top w:type="dxa" w:w="80"/>
              <w:left w:type="dxa" w:w="100"/>
              <w:bottom w:type="dxa" w:w="80"/>
              <w:right w:type="dxa" w:w="100"/>
            </w:tcMar>
          </w:tcPr>
          <w:p>
            <w:r>
              <w:rPr>
                <w:sz w:val="20"/>
                <w:szCs w:val="20"/>
              </w:rPr>
              <w:t xml:space="preserve">Year 3</w:t>
            </w:r>
          </w:p>
        </w:tc>
        <w:tc>
          <w:tcPr>
            <w:tcW w:type="dxa" w:w="3400"/>
            <w:tcMar>
              <w:top w:type="dxa" w:w="80"/>
              <w:left w:type="dxa" w:w="100"/>
              <w:bottom w:type="dxa" w:w="80"/>
              <w:right w:type="dxa" w:w="100"/>
            </w:tcMar>
          </w:tcPr>
          <w:p>
            <w:r>
              <w:rPr>
                <w:sz w:val="20"/>
                <w:szCs w:val="20"/>
              </w:rPr>
              <w:t xml:space="preserve">~1–2%</w:t>
            </w:r>
          </w:p>
        </w:tc>
        <w:tc>
          <w:tcPr>
            <w:tcW w:type="dxa" w:w="4380"/>
            <w:tcMar>
              <w:top w:type="dxa" w:w="80"/>
              <w:left w:type="dxa" w:w="100"/>
              <w:bottom w:type="dxa" w:w="80"/>
              <w:right w:type="dxa" w:w="100"/>
            </w:tcMar>
          </w:tcPr>
          <w:p>
            <w:r>
              <w:rPr>
                <w:sz w:val="20"/>
                <w:szCs w:val="20"/>
              </w:rPr>
              <w:t xml:space="preserve">$1–1.5 million</w:t>
            </w:r>
          </w:p>
        </w:tc>
      </w:tr>
      <w:tr>
        <w:trPr>
          <w:cantSplit/>
        </w:trPr>
        <w:tc>
          <w:tcPr>
            <w:tcW w:type="dxa" w:w="5580"/>
            <w:shd w:fill="DCE6F1" w:color="auto" w:val="clear"/>
            <w:tcMar>
              <w:top w:type="dxa" w:w="80"/>
              <w:left w:type="dxa" w:w="100"/>
              <w:bottom w:type="dxa" w:w="80"/>
              <w:right w:type="dxa" w:w="100"/>
            </w:tcMar>
          </w:tcPr>
          <w:p>
            <w:r>
              <w:rPr>
                <w:sz w:val="20"/>
                <w:szCs w:val="20"/>
              </w:rPr>
              <w:t xml:space="preserve">Year 5 (successful, not breakout)</w:t>
            </w:r>
          </w:p>
        </w:tc>
        <w:tc>
          <w:tcPr>
            <w:tcW w:type="dxa" w:w="3400"/>
            <w:shd w:fill="DCE6F1" w:color="auto" w:val="clear"/>
            <w:tcMar>
              <w:top w:type="dxa" w:w="80"/>
              <w:left w:type="dxa" w:w="100"/>
              <w:bottom w:type="dxa" w:w="80"/>
              <w:right w:type="dxa" w:w="100"/>
            </w:tcMar>
          </w:tcPr>
          <w:p>
            <w:r>
              <w:rPr>
                <w:sz w:val="20"/>
                <w:szCs w:val="20"/>
              </w:rPr>
              <w:t xml:space="preserve">~5–8%</w:t>
            </w:r>
          </w:p>
        </w:tc>
        <w:tc>
          <w:tcPr>
            <w:tcW w:type="dxa" w:w="4380"/>
            <w:shd w:fill="DCE6F1" w:color="auto" w:val="clear"/>
            <w:tcMar>
              <w:top w:type="dxa" w:w="80"/>
              <w:left w:type="dxa" w:w="100"/>
              <w:bottom w:type="dxa" w:w="80"/>
              <w:right w:type="dxa" w:w="100"/>
            </w:tcMar>
          </w:tcPr>
          <w:p>
            <w:r>
              <w:rPr>
                <w:sz w:val="20"/>
                <w:szCs w:val="20"/>
              </w:rPr>
              <w:t xml:space="preserve">$4–6 million</w:t>
            </w:r>
          </w:p>
        </w:tc>
      </w:tr>
      <w:tr>
        <w:trPr>
          <w:cantSplit/>
        </w:trPr>
        <w:tc>
          <w:tcPr>
            <w:tcW w:type="dxa" w:w="5580"/>
            <w:tcMar>
              <w:top w:type="dxa" w:w="80"/>
              <w:left w:type="dxa" w:w="100"/>
              <w:bottom w:type="dxa" w:w="80"/>
              <w:right w:type="dxa" w:w="100"/>
            </w:tcMar>
          </w:tcPr>
          <w:p>
            <w:r>
              <w:rPr>
                <w:sz w:val="20"/>
                <w:szCs w:val="20"/>
              </w:rPr>
              <w:t xml:space="preserve">Year 7+ (strong outcome / category leader in the SMB niche)</w:t>
            </w:r>
          </w:p>
        </w:tc>
        <w:tc>
          <w:tcPr>
            <w:tcW w:type="dxa" w:w="3400"/>
            <w:tcMar>
              <w:top w:type="dxa" w:w="80"/>
              <w:left w:type="dxa" w:w="100"/>
              <w:bottom w:type="dxa" w:w="80"/>
              <w:right w:type="dxa" w:w="100"/>
            </w:tcMar>
          </w:tcPr>
          <w:p>
            <w:r>
              <w:rPr>
                <w:sz w:val="20"/>
                <w:szCs w:val="20"/>
              </w:rPr>
              <w:t xml:space="preserve">~15–20%</w:t>
            </w:r>
          </w:p>
        </w:tc>
        <w:tc>
          <w:tcPr>
            <w:tcW w:type="dxa" w:w="4380"/>
            <w:tcMar>
              <w:top w:type="dxa" w:w="80"/>
              <w:left w:type="dxa" w:w="100"/>
              <w:bottom w:type="dxa" w:w="80"/>
              <w:right w:type="dxa" w:w="100"/>
            </w:tcMar>
          </w:tcPr>
          <w:p>
            <w:r>
              <w:rPr>
                <w:sz w:val="20"/>
                <w:szCs w:val="20"/>
              </w:rPr>
              <w:t xml:space="preserve">$10–15 million</w:t>
            </w:r>
          </w:p>
        </w:tc>
      </w:tr>
    </w:tbl>
    <w:p>
      <w:pPr>
        <w:pStyle w:val="Heading1"/>
        <w:spacing w:after="160" w:before="360"/>
      </w:pPr>
      <w:r>
        <w:rPr>
          <w:b/>
          <w:bCs/>
          <w:color w:val="1F4E79"/>
          <w:sz w:val="30"/>
          <w:szCs w:val="30"/>
        </w:rPr>
        <w:t xml:space="preserve">7. EBITDA Estimate</w:t>
      </w:r>
    </w:p>
    <w:p>
      <w:pPr>
        <w:spacing w:after="160" w:line="276"/>
      </w:pPr>
      <w:r>
        <w:rPr>
          <w:i w:val="false"/>
          <w:iCs w:val="false"/>
          <w:sz w:val="22"/>
          <w:szCs w:val="22"/>
        </w:rPr>
        <w:t xml:space="preserve">A cloud-based EM simulation product differs structurally from typical SaaS in three ways that compress margins relative to a standard software business:</w:t>
      </w:r>
    </w:p>
    <w:p>
      <w:pPr>
        <w:pStyle w:val="ListParagraph"/>
        <w:numPr>
          <w:ilvl w:val="0"/>
          <w:numId w:val="2"/>
        </w:numPr>
        <w:spacing w:after="100" w:line="264"/>
      </w:pPr>
      <w:r>
        <w:rPr>
          <w:b/>
          <w:bCs/>
          <w:sz w:val="22"/>
          <w:szCs w:val="22"/>
        </w:rPr>
        <w:t xml:space="preserve">Lower gross margin (~50–60%, not 80%+ typical of SaaS): </w:t>
      </w:r>
      <w:r>
        <w:rPr>
          <w:sz w:val="22"/>
          <w:szCs w:val="22"/>
        </w:rPr>
        <w:t xml:space="preserve">FDTD solves are compute-intensive — GPU/CPU-hours scale with mesh density and frequency range — so cost of goods sold includes real, variable infrastructure cost per simulation run, not just fixed hosting overhead.</w:t>
      </w:r>
    </w:p>
    <w:p>
      <w:pPr>
        <w:pStyle w:val="ListParagraph"/>
        <w:numPr>
          <w:ilvl w:val="0"/>
          <w:numId w:val="2"/>
        </w:numPr>
        <w:spacing w:after="100" w:line="264"/>
      </w:pPr>
      <w:r>
        <w:rPr>
          <w:b/>
          <w:bCs/>
          <w:sz w:val="22"/>
          <w:szCs w:val="22"/>
        </w:rPr>
        <w:t xml:space="preserve">Disproportionately high support cost: </w:t>
      </w:r>
      <w:r>
        <w:rPr>
          <w:sz w:val="22"/>
          <w:szCs w:val="22"/>
        </w:rPr>
        <w:t xml:space="preserve">customers without in-house SI expertise require EM-literate support engineers to interpret results, not tier-one helpdesk staff — a genuine, headcount-driven cost center relative to revenue size.</w:t>
      </w:r>
    </w:p>
    <w:p>
      <w:pPr>
        <w:pStyle w:val="ListParagraph"/>
        <w:numPr>
          <w:ilvl w:val="0"/>
          <w:numId w:val="2"/>
        </w:numPr>
        <w:spacing w:after="100" w:line="264"/>
      </w:pPr>
      <w:r>
        <w:rPr>
          <w:b/>
          <w:bCs/>
          <w:sz w:val="22"/>
          <w:szCs w:val="22"/>
        </w:rPr>
        <w:t xml:space="preserve">Consultative sales cycle even at small-company scale: </w:t>
      </w:r>
      <w:r>
        <w:rPr>
          <w:sz w:val="22"/>
          <w:szCs w:val="22"/>
        </w:rPr>
        <w:t xml:space="preserve">engineers need to trust a simulation result before betting a board spin on it, which raises sales-and-marketing cost per dollar of ARR relative to typical product-led-growth SaaS.</w:t>
      </w:r>
    </w:p>
    <w:p>
      <w:pPr>
        <w:pStyle w:val="Heading2"/>
        <w:spacing w:after="120" w:before="280"/>
      </w:pPr>
      <w:r>
        <w:rPr>
          <w:b/>
          <w:bCs/>
          <w:color w:val="1F4E79"/>
          <w:sz w:val="24"/>
          <w:szCs w:val="24"/>
        </w:rPr>
        <w:t xml:space="preserve">7.1 Margin structure at maturity ($10–15 million ARR, Year 7+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7360"/>
      </w:tblGrid>
      <w:tr>
        <w:trPr>
          <w:cantSplit/>
          <w:tblHeader/>
        </w:trPr>
        <w:tc>
          <w:tcPr>
            <w:tcW w:type="dxa" w:w="3600"/>
            <w:shd w:fill="1F4E79" w:color="auto" w:val="clear"/>
            <w:tcMar>
              <w:top w:type="dxa" w:w="80"/>
              <w:left w:type="dxa" w:w="100"/>
              <w:bottom w:type="dxa" w:w="80"/>
              <w:right w:type="dxa" w:w="100"/>
            </w:tcMar>
          </w:tcPr>
          <w:p>
            <w:r>
              <w:rPr>
                <w:b/>
                <w:bCs/>
                <w:color w:val="FFFFFF"/>
                <w:sz w:val="20"/>
                <w:szCs w:val="20"/>
              </w:rPr>
              <w:t xml:space="preserve">Line item</w:t>
            </w:r>
          </w:p>
        </w:tc>
        <w:tc>
          <w:tcPr>
            <w:tcW w:type="dxa" w:w="2400"/>
            <w:shd w:fill="1F4E79" w:color="auto" w:val="clear"/>
            <w:tcMar>
              <w:top w:type="dxa" w:w="80"/>
              <w:left w:type="dxa" w:w="100"/>
              <w:bottom w:type="dxa" w:w="80"/>
              <w:right w:type="dxa" w:w="100"/>
            </w:tcMar>
          </w:tcPr>
          <w:p>
            <w:r>
              <w:rPr>
                <w:b/>
                <w:bCs/>
                <w:color w:val="FFFFFF"/>
                <w:sz w:val="20"/>
                <w:szCs w:val="20"/>
              </w:rPr>
              <w:t xml:space="preserve">% of Revenue</w:t>
            </w:r>
          </w:p>
        </w:tc>
        <w:tc>
          <w:tcPr>
            <w:tcW w:type="dxa" w:w="7360"/>
            <w:shd w:fill="1F4E79" w:color="auto" w:val="clear"/>
            <w:tcMar>
              <w:top w:type="dxa" w:w="80"/>
              <w:left w:type="dxa" w:w="100"/>
              <w:bottom w:type="dxa" w:w="80"/>
              <w:right w:type="dxa" w:w="100"/>
            </w:tcMar>
          </w:tcPr>
          <w:p>
            <w:r>
              <w:rPr>
                <w:b/>
                <w:bCs/>
                <w:color w:val="FFFFFF"/>
                <w:sz w:val="20"/>
                <w:szCs w:val="20"/>
              </w:rPr>
              <w:t xml:space="preserve">Notes</w:t>
            </w:r>
          </w:p>
        </w:tc>
      </w:tr>
      <w:tr>
        <w:trPr>
          <w:cantSplit/>
        </w:trPr>
        <w:tc>
          <w:tcPr>
            <w:tcW w:type="dxa" w:w="3600"/>
            <w:tcMar>
              <w:top w:type="dxa" w:w="80"/>
              <w:left w:type="dxa" w:w="100"/>
              <w:bottom w:type="dxa" w:w="80"/>
              <w:right w:type="dxa" w:w="100"/>
            </w:tcMar>
          </w:tcPr>
          <w:p>
            <w:r>
              <w:rPr>
                <w:sz w:val="20"/>
                <w:szCs w:val="20"/>
              </w:rPr>
              <w:t xml:space="preserve">Gross margin</w:t>
            </w:r>
          </w:p>
        </w:tc>
        <w:tc>
          <w:tcPr>
            <w:tcW w:type="dxa" w:w="2400"/>
            <w:tcMar>
              <w:top w:type="dxa" w:w="80"/>
              <w:left w:type="dxa" w:w="100"/>
              <w:bottom w:type="dxa" w:w="80"/>
              <w:right w:type="dxa" w:w="100"/>
            </w:tcMar>
          </w:tcPr>
          <w:p>
            <w:r>
              <w:rPr>
                <w:sz w:val="20"/>
                <w:szCs w:val="20"/>
              </w:rPr>
              <w:t xml:space="preserve">~55%</w:t>
            </w:r>
          </w:p>
        </w:tc>
        <w:tc>
          <w:tcPr>
            <w:tcW w:type="dxa" w:w="7360"/>
            <w:tcMar>
              <w:top w:type="dxa" w:w="80"/>
              <w:left w:type="dxa" w:w="100"/>
              <w:bottom w:type="dxa" w:w="80"/>
              <w:right w:type="dxa" w:w="100"/>
            </w:tcMar>
          </w:tcPr>
          <w:p>
            <w:r>
              <w:rPr>
                <w:sz w:val="20"/>
                <w:szCs w:val="20"/>
              </w:rPr>
              <w:t xml:space="preserve">Compute-heavy COGS relative to typical SaaS</w:t>
            </w:r>
          </w:p>
        </w:tc>
      </w:tr>
      <w:tr>
        <w:trPr>
          <w:cantSplit/>
        </w:trPr>
        <w:tc>
          <w:tcPr>
            <w:tcW w:type="dxa" w:w="3600"/>
            <w:shd w:fill="DCE6F1" w:color="auto" w:val="clear"/>
            <w:tcMar>
              <w:top w:type="dxa" w:w="80"/>
              <w:left w:type="dxa" w:w="100"/>
              <w:bottom w:type="dxa" w:w="80"/>
              <w:right w:type="dxa" w:w="100"/>
            </w:tcMar>
          </w:tcPr>
          <w:p>
            <w:r>
              <w:rPr>
                <w:sz w:val="20"/>
                <w:szCs w:val="20"/>
              </w:rPr>
              <w:t xml:space="preserve">R&amp;D</w:t>
            </w:r>
          </w:p>
        </w:tc>
        <w:tc>
          <w:tcPr>
            <w:tcW w:type="dxa" w:w="2400"/>
            <w:shd w:fill="DCE6F1" w:color="auto" w:val="clear"/>
            <w:tcMar>
              <w:top w:type="dxa" w:w="80"/>
              <w:left w:type="dxa" w:w="100"/>
              <w:bottom w:type="dxa" w:w="80"/>
              <w:right w:type="dxa" w:w="100"/>
            </w:tcMar>
          </w:tcPr>
          <w:p>
            <w:r>
              <w:rPr>
                <w:sz w:val="20"/>
                <w:szCs w:val="20"/>
              </w:rPr>
              <w:t xml:space="preserve">~20–25%</w:t>
            </w:r>
          </w:p>
        </w:tc>
        <w:tc>
          <w:tcPr>
            <w:tcW w:type="dxa" w:w="7360"/>
            <w:shd w:fill="DCE6F1" w:color="auto" w:val="clear"/>
            <w:tcMar>
              <w:top w:type="dxa" w:w="80"/>
              <w:left w:type="dxa" w:w="100"/>
              <w:bottom w:type="dxa" w:w="80"/>
              <w:right w:type="dxa" w:w="100"/>
            </w:tcMar>
          </w:tcPr>
          <w:p>
            <w:r>
              <w:rPr>
                <w:sz w:val="20"/>
                <w:szCs w:val="20"/>
              </w:rPr>
              <w:t xml:space="preserve">Solver accuracy, GUI, integrations</w:t>
            </w:r>
          </w:p>
        </w:tc>
      </w:tr>
      <w:tr>
        <w:trPr>
          <w:cantSplit/>
        </w:trPr>
        <w:tc>
          <w:tcPr>
            <w:tcW w:type="dxa" w:w="3600"/>
            <w:tcMar>
              <w:top w:type="dxa" w:w="80"/>
              <w:left w:type="dxa" w:w="100"/>
              <w:bottom w:type="dxa" w:w="80"/>
              <w:right w:type="dxa" w:w="100"/>
            </w:tcMar>
          </w:tcPr>
          <w:p>
            <w:r>
              <w:rPr>
                <w:sz w:val="20"/>
                <w:szCs w:val="20"/>
              </w:rPr>
              <w:t xml:space="preserve">Sales &amp; marketing</w:t>
            </w:r>
          </w:p>
        </w:tc>
        <w:tc>
          <w:tcPr>
            <w:tcW w:type="dxa" w:w="2400"/>
            <w:tcMar>
              <w:top w:type="dxa" w:w="80"/>
              <w:left w:type="dxa" w:w="100"/>
              <w:bottom w:type="dxa" w:w="80"/>
              <w:right w:type="dxa" w:w="100"/>
            </w:tcMar>
          </w:tcPr>
          <w:p>
            <w:r>
              <w:rPr>
                <w:sz w:val="20"/>
                <w:szCs w:val="20"/>
              </w:rPr>
              <w:t xml:space="preserve">~15–20%</w:t>
            </w:r>
          </w:p>
        </w:tc>
        <w:tc>
          <w:tcPr>
            <w:tcW w:type="dxa" w:w="7360"/>
            <w:tcMar>
              <w:top w:type="dxa" w:w="80"/>
              <w:left w:type="dxa" w:w="100"/>
              <w:bottom w:type="dxa" w:w="80"/>
              <w:right w:type="dxa" w:w="100"/>
            </w:tcMar>
          </w:tcPr>
          <w:p>
            <w:r>
              <w:rPr>
                <w:sz w:val="20"/>
                <w:szCs w:val="20"/>
              </w:rPr>
              <w:t xml:space="preserve">Consultative cycle even for self-serve tiers</w:t>
            </w:r>
          </w:p>
        </w:tc>
      </w:tr>
      <w:tr>
        <w:trPr>
          <w:cantSplit/>
        </w:trPr>
        <w:tc>
          <w:tcPr>
            <w:tcW w:type="dxa" w:w="3600"/>
            <w:shd w:fill="DCE6F1" w:color="auto" w:val="clear"/>
            <w:tcMar>
              <w:top w:type="dxa" w:w="80"/>
              <w:left w:type="dxa" w:w="100"/>
              <w:bottom w:type="dxa" w:w="80"/>
              <w:right w:type="dxa" w:w="100"/>
            </w:tcMar>
          </w:tcPr>
          <w:p>
            <w:r>
              <w:rPr>
                <w:sz w:val="20"/>
                <w:szCs w:val="20"/>
              </w:rPr>
              <w:t xml:space="preserve">General &amp; administrative</w:t>
            </w:r>
          </w:p>
        </w:tc>
        <w:tc>
          <w:tcPr>
            <w:tcW w:type="dxa" w:w="2400"/>
            <w:shd w:fill="DCE6F1" w:color="auto" w:val="clear"/>
            <w:tcMar>
              <w:top w:type="dxa" w:w="80"/>
              <w:left w:type="dxa" w:w="100"/>
              <w:bottom w:type="dxa" w:w="80"/>
              <w:right w:type="dxa" w:w="100"/>
            </w:tcMar>
          </w:tcPr>
          <w:p>
            <w:r>
              <w:rPr>
                <w:sz w:val="20"/>
                <w:szCs w:val="20"/>
              </w:rPr>
              <w:t xml:space="preserve">~10%</w:t>
            </w:r>
          </w:p>
        </w:tc>
        <w:tc>
          <w:tcPr>
            <w:tcW w:type="dxa" w:w="7360"/>
            <w:shd w:fill="DCE6F1" w:color="auto" w:val="clear"/>
            <w:tcMar>
              <w:top w:type="dxa" w:w="80"/>
              <w:left w:type="dxa" w:w="100"/>
              <w:bottom w:type="dxa" w:w="80"/>
              <w:right w:type="dxa" w:w="100"/>
            </w:tcMar>
          </w:tcPr>
          <w:p>
            <w:r>
              <w:rPr>
                <w:sz w:val="20"/>
                <w:szCs w:val="20"/>
              </w:rPr>
              <w:t xml:space="preserve">Standard overhead</w:t>
            </w:r>
          </w:p>
        </w:tc>
      </w:tr>
      <w:tr>
        <w:trPr>
          <w:cantSplit/>
        </w:trPr>
        <w:tc>
          <w:tcPr>
            <w:tcW w:type="dxa" w:w="3600"/>
            <w:tcMar>
              <w:top w:type="dxa" w:w="80"/>
              <w:left w:type="dxa" w:w="100"/>
              <w:bottom w:type="dxa" w:w="80"/>
              <w:right w:type="dxa" w:w="100"/>
            </w:tcMar>
          </w:tcPr>
          <w:p>
            <w:r>
              <w:rPr>
                <w:sz w:val="20"/>
                <w:szCs w:val="20"/>
              </w:rPr>
              <w:t xml:space="preserve">EBITDA margin</w:t>
            </w:r>
          </w:p>
        </w:tc>
        <w:tc>
          <w:tcPr>
            <w:tcW w:type="dxa" w:w="2400"/>
            <w:tcMar>
              <w:top w:type="dxa" w:w="80"/>
              <w:left w:type="dxa" w:w="100"/>
              <w:bottom w:type="dxa" w:w="80"/>
              <w:right w:type="dxa" w:w="100"/>
            </w:tcMar>
          </w:tcPr>
          <w:p>
            <w:r>
              <w:rPr>
                <w:sz w:val="20"/>
                <w:szCs w:val="20"/>
              </w:rPr>
              <w:t xml:space="preserve">~15–25%</w:t>
            </w:r>
          </w:p>
        </w:tc>
        <w:tc>
          <w:tcPr>
            <w:tcW w:type="dxa" w:w="7360"/>
            <w:tcMar>
              <w:top w:type="dxa" w:w="80"/>
              <w:left w:type="dxa" w:w="100"/>
              <w:bottom w:type="dxa" w:w="80"/>
              <w:right w:type="dxa" w:w="100"/>
            </w:tcMar>
          </w:tcPr>
          <w:p>
            <w:r>
              <w:rPr>
                <w:sz w:val="20"/>
                <w:szCs w:val="20"/>
              </w:rPr>
              <w:t xml:space="preserve">Roughly $1.5–3.5 million EBITDA at this ARR stage</w:t>
            </w:r>
          </w:p>
        </w:tc>
      </w:tr>
    </w:tbl>
    <w:p>
      <w:pPr>
        <w:spacing w:after="160" w:line="276"/>
      </w:pPr>
      <w:r>
        <w:rPr>
          <w:i w:val="false"/>
          <w:iCs w:val="false"/>
          <w:sz w:val="22"/>
          <w:szCs w:val="22"/>
        </w:rPr>
        <w:t xml:space="preserve">At the earlier Year 5 stage (~$4–6 million ARR), EBITDA is likely negative to breakeven. Niche vertical SaaS businesses with meaningful compute costs typically do not reach positive EBITDA until they have enough scale to amortize the fixed cost base of specialist support staff and ongoing R&amp;D.</w:t>
      </w:r>
    </w:p>
    <w:p>
      <w:pPr>
        <w:pStyle w:val="Heading2"/>
        <w:spacing w:after="120" w:before="280"/>
      </w:pPr>
      <w:r>
        <w:rPr>
          <w:b/>
          <w:bCs/>
          <w:color w:val="1F4E79"/>
          <w:sz w:val="24"/>
          <w:szCs w:val="24"/>
        </w:rPr>
        <w:t xml:space="preserve">7.2 Bottom line at base case</w:t>
      </w:r>
    </w:p>
    <w:p>
      <w:pPr>
        <w:spacing w:after="160" w:line="276"/>
      </w:pPr>
      <w:r>
        <w:rPr>
          <w:i w:val="false"/>
          <w:iCs w:val="false"/>
          <w:sz w:val="22"/>
          <w:szCs w:val="22"/>
        </w:rPr>
        <w:t xml:space="preserve">This concept, as a standalone point-tool, looks like a durable, fundable $5–15 million ARR niche vertical SaaS business at maturity — not a venture-scale outcome. Its shape resembles a profitable acquisition target for an incumbent (Cadence, Siemens, or Ansys, acquiring for the SMB funnel and brand rather than the revenue itself) more than a standalone breakout company. The TAM ceiling (~$60–150 million) is too small and the compute/support cost structure too heavy to support outsized EBITDA margins even with strong execution.</w:t>
      </w:r>
    </w:p>
    <w:p>
      <w:pPr>
        <w:pStyle w:val="Heading1"/>
        <w:spacing w:after="160" w:before="360"/>
      </w:pPr>
      <w:r>
        <w:rPr>
          <w:b/>
          <w:bCs/>
          <w:color w:val="1F4E79"/>
          <w:sz w:val="30"/>
          <w:szCs w:val="30"/>
        </w:rPr>
        <w:t xml:space="preserve">8. Levers to Expand TAM and EBITDA</w:t>
      </w:r>
    </w:p>
    <w:p>
      <w:pPr>
        <w:spacing w:after="160" w:line="276"/>
      </w:pPr>
      <w:r>
        <w:rPr>
          <w:i w:val="false"/>
          <w:iCs w:val="false"/>
          <w:sz w:val="22"/>
          <w:szCs w:val="22"/>
        </w:rPr>
        <w:t xml:space="preserve">The base-case estimate reflects the product scoped narrowly as a standalone EM simulation point-tool. The levers below describe what would need to be added to materially change the size of the opportunity.</w:t>
      </w:r>
    </w:p>
    <w:p>
      <w:pPr>
        <w:pStyle w:val="Heading2"/>
        <w:spacing w:after="120" w:before="280"/>
      </w:pPr>
      <w:r>
        <w:rPr>
          <w:b/>
          <w:bCs/>
          <w:color w:val="1F4E79"/>
          <w:sz w:val="24"/>
          <w:szCs w:val="24"/>
        </w:rPr>
        <w:t xml:space="preserve">8.1 Levers to expand TAM</w:t>
      </w:r>
    </w:p>
    <w:p>
      <w:pPr>
        <w:pStyle w:val="ListParagraph"/>
        <w:numPr>
          <w:ilvl w:val="0"/>
          <w:numId w:val="2"/>
        </w:numPr>
        <w:spacing w:after="100" w:line="264"/>
      </w:pPr>
      <w:r>
        <w:rPr>
          <w:b/>
          <w:bCs/>
          <w:sz w:val="22"/>
          <w:szCs w:val="22"/>
        </w:rPr>
        <w:t xml:space="preserve">1. Expand beyond EMI/SI into the full pre-compliance workflow: </w:t>
      </w:r>
      <w:r>
        <w:rPr>
          <w:sz w:val="22"/>
          <w:szCs w:val="22"/>
        </w:rPr>
        <w:t xml:space="preserve">bundle in thermal simulation, mechanical/enclosure EM shielding analysis, and automated compliance-report generation formatted for FCC/CE pre-submission. This converts the product from a simulation tool into a substitute for the pre-compliance function a startup lacks, raising achievable price per account more than it raises customer count (blended ARPU could plausibly move from ~$9,000 toward $20,000–$30,000).</w:t>
      </w:r>
    </w:p>
    <w:p>
      <w:pPr>
        <w:pStyle w:val="ListParagraph"/>
        <w:numPr>
          <w:ilvl w:val="0"/>
          <w:numId w:val="2"/>
        </w:numPr>
        <w:spacing w:after="100" w:line="264"/>
      </w:pPr>
      <w:r>
        <w:rPr>
          <w:b/>
          <w:bCs/>
          <w:sz w:val="22"/>
          <w:szCs w:val="22"/>
        </w:rPr>
        <w:t xml:space="preserve">2. Move upstream into mid-size and enterprise as a sandbox/pre-screen tool: </w:t>
      </w:r>
      <w:r>
        <w:rPr>
          <w:sz w:val="22"/>
          <w:szCs w:val="22"/>
        </w:rPr>
        <w:t xml:space="preserve">position as the fast, low-cost first-pass check that only escalates to an expensive SME or commercial tool when a real flag appears. This could unlock the ~20,000 companies excluded from the base funnel by the “no in-house SME” filter, potentially doubling the addressable count, though at a lower price point than the incumbent SME tools those buyers already own.</w:t>
      </w:r>
    </w:p>
    <w:p>
      <w:pPr>
        <w:pStyle w:val="ListParagraph"/>
        <w:numPr>
          <w:ilvl w:val="0"/>
          <w:numId w:val="2"/>
        </w:numPr>
        <w:spacing w:after="100" w:line="264"/>
      </w:pPr>
      <w:r>
        <w:rPr>
          <w:b/>
          <w:bCs/>
          <w:sz w:val="22"/>
          <w:szCs w:val="22"/>
        </w:rPr>
        <w:t xml:space="preserve">3. Expand from PCB-level EM into IC package, interposer, and connector-level simulation: </w:t>
      </w:r>
      <w:r>
        <w:rPr>
          <w:sz w:val="22"/>
          <w:szCs w:val="22"/>
        </w:rPr>
        <w:t xml:space="preserve">the adjacent Signal Integrity IP market carries real budget because chip-package designers, connector manufacturers, and cable-assembly vendors need the same class of simulation. This is the single largest available TAM lever — potentially adding a $200–400 million adjacent market — though it also means competing directly with Cadence and Ansys on their core turf rather than the currently underserved SMB gap.</w:t>
      </w:r>
    </w:p>
    <w:p>
      <w:pPr>
        <w:pStyle w:val="ListParagraph"/>
        <w:numPr>
          <w:ilvl w:val="0"/>
          <w:numId w:val="2"/>
        </w:numPr>
        <w:spacing w:after="100" w:line="264"/>
      </w:pPr>
      <w:r>
        <w:rPr>
          <w:b/>
          <w:bCs/>
          <w:sz w:val="22"/>
          <w:szCs w:val="22"/>
        </w:rPr>
        <w:t xml:space="preserve">4. Expand horizontally into regulatory-heavy verticals: </w:t>
      </w:r>
      <w:r>
        <w:rPr>
          <w:sz w:val="22"/>
          <w:szCs w:val="22"/>
        </w:rPr>
        <w:t xml:space="preserve">RF/antenna placement, automotive EMC (materially stricter and more litigated than consumer electronics), and medical device EMC (FDA pre-submission testing). These buyers carry higher willingness-to-pay per seat because regulatory risk is existential rather than a nice-to-have, raising both TAM and blended ARPU.</w:t>
      </w:r>
    </w:p>
    <w:p>
      <w:pPr>
        <w:pStyle w:val="ListParagraph"/>
        <w:numPr>
          <w:ilvl w:val="0"/>
          <w:numId w:val="2"/>
        </w:numPr>
        <w:spacing w:after="100" w:line="264"/>
      </w:pPr>
      <w:r>
        <w:rPr>
          <w:b/>
          <w:bCs/>
          <w:sz w:val="22"/>
          <w:szCs w:val="22"/>
        </w:rPr>
        <w:t xml:space="preserve">5. Add a marketplace/referral layer to certified test houses and consultants: </w:t>
      </w:r>
      <w:r>
        <w:rPr>
          <w:sz w:val="22"/>
          <w:szCs w:val="22"/>
        </w:rPr>
        <w:t xml:space="preserve">route customers who trigger a real flag to a certified EMC lab or SI consultant for final sign-off, monetizing referral or booking fees. This closes the loop the current design ends at (fail → fix → respin → retest), and while its direct TAM contribution is smaller, it improves retention and adds a high-margin revenue line with no compute cost.</w:t>
      </w:r>
    </w:p>
    <w:p>
      <w:pPr>
        <w:pStyle w:val="Heading2"/>
        <w:spacing w:after="120" w:before="280"/>
      </w:pPr>
      <w:r>
        <w:rPr>
          <w:b/>
          <w:bCs/>
          <w:color w:val="1F4E79"/>
          <w:sz w:val="24"/>
          <w:szCs w:val="24"/>
        </w:rPr>
        <w:t xml:space="preserve">8.2 Levers to expand EBITDA margin</w:t>
      </w:r>
    </w:p>
    <w:p>
      <w:pPr>
        <w:pStyle w:val="ListParagraph"/>
        <w:numPr>
          <w:ilvl w:val="0"/>
          <w:numId w:val="2"/>
        </w:numPr>
        <w:spacing w:after="100" w:line="264"/>
      </w:pPr>
      <w:r>
        <w:rPr>
          <w:b/>
          <w:bCs/>
          <w:sz w:val="22"/>
          <w:szCs w:val="22"/>
        </w:rPr>
        <w:t xml:space="preserve">1. Attack the compute cost structure directly: </w:t>
      </w:r>
      <w:r>
        <w:rPr>
          <w:sz w:val="22"/>
          <w:szCs w:val="22"/>
        </w:rPr>
        <w:t xml:space="preserve">FDTD solving is the single largest drag on gross margin. Two paths: GPU-optimized custom solver kernels rather than a general-purpose openEMS-derived codebase, or a tiered-accuracy model (a coarse, fast mesh for the majority of “am I in trouble” checks, with full-fidelity meshing reserved for cases that raise a flag or are explicitly requested). Moving gross margin from ~55% toward a SaaS-typical 75–80% has a larger EBITDA impact than most TAM-side moves, since it flows directly to the bottom line without added sales cost.</w:t>
      </w:r>
    </w:p>
    <w:p>
      <w:pPr>
        <w:pStyle w:val="ListParagraph"/>
        <w:numPr>
          <w:ilvl w:val="0"/>
          <w:numId w:val="2"/>
        </w:numPr>
        <w:spacing w:after="100" w:line="264"/>
      </w:pPr>
      <w:r>
        <w:rPr>
          <w:b/>
          <w:bCs/>
          <w:sz w:val="22"/>
          <w:szCs w:val="22"/>
        </w:rPr>
        <w:t xml:space="preserve">2. Reduce the specialist-support cost center through automated interpretation: </w:t>
      </w:r>
      <w:r>
        <w:rPr>
          <w:sz w:val="22"/>
          <w:szCs w:val="22"/>
        </w:rPr>
        <w:t xml:space="preserve">the expensive part of support is not “how do I use the interface” but “what does this result mean and what should I do about it.” An automated interpretation layer — flagging likely root causes, suggesting standard fixes (via stitching, decoupling placement), and linking to the relevant application note — converts work that currently requires a human EM expert into a self-serve feature, letting support cost scale sub-linearly with customer count.</w:t>
      </w:r>
    </w:p>
    <w:p>
      <w:pPr>
        <w:pStyle w:val="ListParagraph"/>
        <w:numPr>
          <w:ilvl w:val="0"/>
          <w:numId w:val="2"/>
        </w:numPr>
        <w:spacing w:after="100" w:line="264"/>
      </w:pPr>
      <w:r>
        <w:rPr>
          <w:b/>
          <w:bCs/>
          <w:sz w:val="22"/>
          <w:szCs w:val="22"/>
        </w:rPr>
        <w:t xml:space="preserve">3. Shift higher tiers from seat/compute-based pricing to outcome/risk-based pricing: </w:t>
      </w:r>
      <w:r>
        <w:rPr>
          <w:sz w:val="22"/>
          <w:szCs w:val="22"/>
        </w:rPr>
        <w:t xml:space="preserve">a compliance failure costs a startup a board re-spin or a blown certification deadline — real dollars and real schedule risk. Enterprise, automotive, and medical tiers could be priced against that risk (for example, a flat “design validation package” fee per product line) rather than metered compute, capturing more value from the highest-stakes accounts without a proportional increase in cost of goods sold.</w:t>
      </w:r>
    </w:p>
    <w:p>
      <w:pPr>
        <w:pStyle w:val="ListParagraph"/>
        <w:numPr>
          <w:ilvl w:val="0"/>
          <w:numId w:val="2"/>
        </w:numPr>
        <w:spacing w:after="100" w:line="264"/>
      </w:pPr>
      <w:r>
        <w:rPr>
          <w:b/>
          <w:bCs/>
          <w:sz w:val="22"/>
          <w:szCs w:val="22"/>
        </w:rPr>
        <w:t xml:space="preserve">4. Build a compounding data and model moat: </w:t>
      </w:r>
      <w:r>
        <w:rPr>
          <w:sz w:val="22"/>
          <w:szCs w:val="22"/>
        </w:rPr>
        <w:t xml:space="preserve">every simulation run is a data point on how predictions compared against real measured outcomes, if customers report back pass/fail results from the test house. A feedback loop that improves solver calibration and “known-good” component, via, and stackup models over time reduces both compute cost (fewer iterations to convergence) and support load (fewer edge cases requiring a human) — and is difficult for Ansys or Cadence to replicate quickly.</w:t>
      </w:r>
    </w:p>
    <w:p>
      <w:pPr>
        <w:pStyle w:val="Heading2"/>
        <w:spacing w:after="120" w:before="280"/>
      </w:pPr>
      <w:r>
        <w:rPr>
          <w:b/>
          <w:bCs/>
          <w:color w:val="1F4E79"/>
          <w:sz w:val="24"/>
          <w:szCs w:val="24"/>
        </w:rPr>
        <w:t xml:space="preserve">8.3 Net effect of combined levers</w:t>
      </w:r>
    </w:p>
    <w:p>
      <w:pPr>
        <w:spacing w:after="160" w:line="276"/>
      </w:pPr>
      <w:r>
        <w:rPr>
          <w:i w:val="false"/>
          <w:iCs w:val="false"/>
          <w:sz w:val="22"/>
          <w:szCs w:val="22"/>
        </w:rPr>
        <w:t xml:space="preserve">The single largest TAM lever is expansion into IC package/connector-level EM (Lever 8.1.3) — it is the only move that shifts the order of magnitude of the opportunity rather than simply applying a multiplier to the existing SMB niche. The single largest EBITDA lever is fixing the compute cost structure (Lever 8.2.1), because unlike sales-driven revenue growth, once built it captures margin with no ongoing incremental cost.</w:t>
      </w:r>
    </w:p>
    <w:p>
      <w:pPr>
        <w:spacing w:after="160" w:line="276"/>
      </w:pPr>
      <w:r>
        <w:rPr>
          <w:b/>
          <w:bCs/>
          <w:color w:val="1F4E79"/>
          <w:sz w:val="22"/>
          <w:szCs w:val="22"/>
        </w:rPr>
        <w:t xml:space="preserve">Combined outcome estimate: </w:t>
      </w:r>
      <w:r>
        <w:rPr>
          <w:sz w:val="22"/>
          <w:szCs w:val="22"/>
        </w:rPr>
        <w:t xml:space="preserve">a business that executes on a richer bundle, an upmarket sandbox tier, and improved compute economics could plausibly move from the base-case estimate of $10–15 million ARR at a 15–25% EBITDA margin to roughly $50–100 million ARR at a 30–35% EBITDA margin at maturity — still a solid vertical software business rather than a venture outlier, but a substantially more attractive one than the standalone point-tool version.</w:t>
      </w:r>
    </w:p>
    <w:p>
      <w:pPr>
        <w:pBdr>
          <w:bottom w:val="single" w:color="BFBFBF" w:sz="6" w:space="1"/>
        </w:pBdr>
        <w:spacing w:after="120" w:before="120"/>
      </w:pPr>
    </w:p>
    <w:p>
      <w:pPr>
        <w:spacing w:after="240" w:before="60"/>
      </w:pPr>
      <w:r>
        <w:rPr>
          <w:i/>
          <w:iCs/>
          <w:color w:val="595959"/>
          <w:sz w:val="18"/>
          <w:szCs w:val="18"/>
        </w:rPr>
        <w:t xml:space="preserve">All figures in this report are order-of-magnitude estimates constructed from first-principles reasoning (Feynman-style estimation), not survey data or licensed market research. They are intended to frame the scale and shape of the opportunity for internal discussion, not to serve as investment-grade diligence.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2026-09-14T15:37:12.973Z</dcterms:created>
  <dcterms:modified xsi:type="dcterms:W3CDTF">2026-09-14T15:37:12.974Z</dcterms:modified>
</cp:coreProperties>
</file>

<file path=docProps/custom.xml><?xml version="1.0" encoding="utf-8"?>
<Properties xmlns="http://schemas.openxmlformats.org/officeDocument/2006/custom-properties" xmlns:vt="http://schemas.openxmlformats.org/officeDocument/2006/docPropsVTypes"/>
</file>