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w="http://schemas.openxmlformats.org/wordprocessingml/2006/main" ns1:Ignorable="w14">
  <w:body>
    <w:p ns2:paraId="5AA6705E">
      <w:pPr>
        <w:spacing w:before="260" w:after="5273" w:line="520" w:lineRule="atLeast"/>
        <w:ind w:left="720"/>
        <w:rPr>
          <w:b w:val="0"/>
          <w:bCs w:val="0"/>
        </w:rPr>
      </w:pPr>
      <w:r>
        <w:rPr>
          <w:b w:val="0"/>
          <w:bCs w:val="0"/>
        </w:rPr>
        <w:drawing>
          <ns3:inline distT="0" distB="0" distL="0" distR="0">
            <ns3:extent cx="1600200" cy="587375"/>
            <ns3:effectExtent l="0" t="0" r="0" b="22225"/>
            <ns3:docPr id="9001" name="apevon_logo.png" descr="Apevon Science 标志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001" name="apevon_logo.png" descr="Apevon Science 标志"/>
                    <ns5:cNvPicPr>
                      <ns4:picLocks noChangeAspect="1"/>
                    </ns5:cNvPicPr>
                  </ns5:nvPicPr>
                  <ns5:blipFill>
                    <ns4:blip ns6:embed="rId6" cstate="print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600200" cy="587867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</w:p>
    <w:p ns2:paraId="21DEB350">
      <w:pPr>
        <w:spacing w:after="220"/>
        <w:jc w:val="center"/>
        <w:rPr>
          <w:b w:val="0"/>
          <w:bCs w:val="0"/>
        </w:rPr>
      </w:pPr>
      <w:r>
        <w:rPr>
          <w:rFonts w:ascii="Times New Roman" w:hAnsi="Times New Roman" w:eastAsia="Songti SC"/>
        </w:rPr>
        <w:t>Erdős 1091 反例的 Lean 4 形式化</w:t>
      </w:r>
    </w:p>
    <w:p ns2:paraId="19E56024">
      <w:pPr>
        <w:spacing w:after="4300"/>
        <w:jc w:val="center"/>
        <w:rPr>
          <w:b w:val="0"/>
          <w:bCs w:val="0"/>
        </w:rPr>
      </w:pPr>
      <w:r>
        <w:rPr>
          <w:rFonts w:ascii="Times New Roman" w:hAnsi="Times New Roman" w:eastAsia="Songti SC"/>
        </w:rPr>
        <w:t>arXiv:2604.06609 Theorem 4.1 的机器可验重建</w:t>
      </w:r>
    </w:p>
    <w:p ns2:paraId="690AB6F9">
      <w:pPr>
        <w:spacing w:after="100" w:line="340" w:lineRule="atLeast"/>
        <w:jc w:val="center"/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</w:pPr>
    </w:p>
    <w:p ns2:paraId="7DDFCC01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Apevon Science</w:t>
      </w:r>
    </w:p>
    <w:p ns2:paraId="7003244E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1"/>
          <w:szCs w:val="21"/>
        </w:rPr>
        <w:t>Research &amp; Intelligence</w:t>
      </w:r>
    </w:p>
    <w:p ns2:paraId="151E391C">
      <w:pPr>
        <w:spacing w:after="100" w:line="3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/>
        </w:rPr>
        <w:t>研究范围截至 2026 年 9 月 17 日</w:t>
      </w:r>
    </w:p>
    <w:p ns2:paraId="1E6193B8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ns2:paraId="1BADDFA9">
      <w:pPr>
        <w:keepNext/>
        <w:spacing w:before="420" w:after="520" w:line="440" w:lineRule="atLeast"/>
        <w:jc w:val="center"/>
        <w:rPr>
          <w:rFonts w:hint="eastAsia" w:eastAsia="Songti SC"/>
          <w:b w:val="0"/>
          <w:bCs w:val="0"/>
          <w:lang w:val="en-US" w:eastAsia="zh-CN"/>
        </w:rPr>
      </w:pPr>
      <w:r>
        <w:rPr>
          <w:rFonts w:hint="eastAsia" w:cs="Times New Roman"/>
          <w:b w:val="0"/>
          <w:bCs w:val="0"/>
          <w:color w:val="000000"/>
          <w:sz w:val="36"/>
          <w:szCs w:val="36"/>
          <w:lang w:val="en-US" w:eastAsia="zh-CN"/>
        </w:rPr>
        <w:t>摘 要</w:t>
      </w:r>
    </w:p>
    <w:p ns2:paraId="476B8F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b w:val="0"/>
          <w:bCs w:val="0"/>
        </w:rPr>
      </w:pPr>
      <w:r>
        <w:rPr>
          <w:rFonts w:ascii="Times New Roman" w:hAnsi="Times New Roman" w:eastAsia="Songti SC"/>
        </w:rPr>
        <w:t>本文记录把 arXiv:2604.06609《Short proofs in combinatorics, probability and number theory II》第 4 节 Theorem 4.1 重建为 Lean 4 机器可验证明的全过程。该定理对 Erdős 1091 给出否定回答：对每个 m ≥ 1 存在显式的 K</w:t>
      </w:r>
      <w:r>
        <w:rPr>
          <w:rFonts w:ascii="Times New Roman" w:hAnsi="Times New Roman" w:eastAsia="Songti SC"/>
          <w:i/>
        </w:rPr>
        <w:t>4-free 图 G</w:t>
      </w:r>
      <w:r>
        <w:rPr>
          <w:rFonts w:ascii="Times New Roman" w:hAnsi="Times New Roman" w:eastAsia="Songti SC"/>
        </w:rPr>
        <w:t>m，它有 20m+31 个顶点、色数为 4、每个真子图 3-可着色，且每个圈至多携带 10 条弦。数学结论与证明属于原作者 Alexeev、Putterman、Sawhney、Sellke 与 Valiant，本工作主张的是独立的 formalizer credit。形式化成果为 3696 行自有 Lean 源码，217 条声明全部证完，零 sorry；41 条 #print axioms 的实际输出全部只含 Mathlib 标准三公理 propext、Classical.choice 与 Quot.sound，其中一条更少。顶层定理的陈述与 formal-conjectures PR #5870 逐字符一致，可直接提交为该 PR 的证明补全。本文给出完整的论文编号到 Lean 声明的映射表、形式化过程中的工程决策及其理由，以及在干净机器上复核这些结论的完整命令。</w:t>
      </w:r>
    </w:p>
    <w:p ns2:paraId="5A0E7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hint="eastAsia"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</w:pPr>
    </w:p>
    <w:p ns2:paraId="60CF66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  <w:lang w:val="en-US" w:eastAsia="zh-CN"/>
        </w:rPr>
      </w:pPr>
      <w:r>
        <w:rPr>
          <w:rFonts w:ascii="Times New Roman" w:hAnsi="Times New Roman" w:eastAsia="Songti SC"/>
        </w:rPr>
        <w:t>关键词：Lean 4；形式化数学；图着色；Erdős 问题；Mathlib</w:t>
      </w:r>
    </w:p>
    <w:p ns2:paraId="4183B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533" w:right="522" w:firstLine="480"/>
        <w:jc w:val="both"/>
        <w:textAlignment w:val="auto"/>
        <w:rPr>
          <w:rFonts w:ascii="Times New Roman" w:hAnsi="Times New Roman" w:eastAsia="Songti SC" w:cs="Times New Roman"/>
          <w:b w:val="0"/>
          <w:bCs w:val="0"/>
          <w:color w:val="000000"/>
          <w:sz w:val="23"/>
          <w:szCs w:val="23"/>
        </w:rPr>
      </w:pPr>
    </w:p>
    <w:p ns2:paraId="53D8DC1B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ns2:paraId="53236506">
      <w:pPr>
        <w:keepNext/>
        <w:spacing w:before="420" w:after="390" w:line="44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36"/>
          <w:szCs w:val="36"/>
        </w:rPr>
        <w:t>目 录</w:t>
      </w:r>
    </w:p>
    <w:p ns2:paraId="20D972A3">
      <w:pPr>
        <w:pStyle w:val="8"/>
        <w:rPr>
          <w:b w:val="0"/>
          <w:bCs w:val="0"/>
        </w:rPr>
      </w:pPr>
      <w:r>
        <w:t>Erdős 1091 反例的 Lean 4 形式化</w:t>
      </w:r>
      <w:r>
        <w:tab/>
      </w:r>
      <w:fldSimple w:instr=" PAGEREF _ApevonHeading1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1. 本工作的定位与 credit 归属</w:t>
      </w:r>
      <w:r>
        <w:tab/>
      </w:r>
      <w:fldSimple w:instr=" PAGEREF _ApevonHeading2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2. 原问题与答案</w:t>
      </w:r>
      <w:r>
        <w:tab/>
      </w:r>
      <w:fldSimple w:instr=" PAGEREF _ApevonHeading3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3. 构造 G_m</w:t>
      </w:r>
      <w:r>
        <w:tab/>
      </w:r>
      <w:fldSimple w:instr=" PAGEREF _ApevonHeading4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4. 引理映射表</w:t>
      </w:r>
      <w:r>
        <w:tab/>
      </w:r>
      <w:fldSimple w:instr=" PAGEREF _ApevonHeading5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4.1 构造与基本性质</w:t>
      </w:r>
      <w:r>
        <w:tab/>
      </w:r>
      <w:fldSimple w:instr=" PAGEREF _ApevonHeading6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4.2 Lemma 4.2：Gm 是 K4-free</w:t>
      </w:r>
      <w:r>
        <w:tab/>
      </w:r>
      <w:fldSimple w:instr=" PAGEREF _ApevonHeading7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4.3 Lemma 4.3 与 4.4：颜色强制与脊块传播</w:t>
      </w:r>
      <w:r>
        <w:tab/>
      </w:r>
      <w:fldSimple w:instr=" PAGEREF _ApevonHeading8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4.4 Proposition 4.5：χ(G_m) = 4</w:t>
      </w:r>
      <w:r>
        <w:tab/>
      </w:r>
      <w:fldSimple w:instr=" PAGEREF _ApevonHeading9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4.5 Proposition 4.6：真子图 2-degenerate</w:t>
      </w:r>
      <w:r>
        <w:tab/>
      </w:r>
      <w:fldSimple w:instr=" PAGEREF _ApevonHeading10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4.6 Lemma 4.7 至 Proposition 4.10：弦数上界</w:t>
      </w:r>
      <w:r>
        <w:tab/>
      </w:r>
      <w:fldSimple w:instr=" PAGEREF _ApevonHeading11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4.7 Theorem 4.1 的组装</w:t>
      </w:r>
      <w:r>
        <w:tab/>
      </w:r>
      <w:fldSimple w:instr=" PAGEREF _ApevonHeading12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4.8 依赖关系</w:t>
      </w:r>
      <w:r>
        <w:tab/>
      </w:r>
      <w:fldSimple w:instr=" PAGEREF _ApevonHeading13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5. 形式化中的工程决策</w:t>
      </w:r>
      <w:r>
        <w:tab/>
      </w:r>
      <w:fldSimple w:instr=" PAGEREF _ApevonHeading14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5.1 顶点类型的选择</w:t>
      </w:r>
      <w:r>
        <w:tab/>
      </w:r>
      <w:fldSimple w:instr=" PAGEREF _ApevonHeading15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5.2 显式搬到 Fin n 的必要性</w:t>
      </w:r>
      <w:r>
        <w:tab/>
      </w:r>
      <w:fldSimple w:instr=" PAGEREF _ApevonHeading16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5.3 判定策略的禁用范围与理由</w:t>
      </w:r>
      <w:r>
        <w:tab/>
      </w:r>
      <w:fldSimple w:instr=" PAGEREF _ApevonHeading17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5.4 新造的通用件</w:t>
      </w:r>
      <w:r>
        <w:tab/>
      </w:r>
      <w:fldSimple w:instr=" PAGEREF _ApevonHeading18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5.5 与论文路线的三处偏离</w:t>
      </w:r>
      <w:r>
        <w:tab/>
      </w:r>
      <w:fldSimple w:instr=" PAGEREF _ApevonHeading19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5.6 交付目录的自包含性</w:t>
      </w:r>
      <w:r>
        <w:tab/>
      </w:r>
      <w:fldSimple w:instr=" PAGEREF _ApevonHeading20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6. 可验证性</w:t>
      </w:r>
      <w:r>
        <w:tab/>
      </w:r>
      <w:fldSimple w:instr=" PAGEREF _ApevonHeading21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6.1 在干净机器上完整复核</w:t>
      </w:r>
      <w:r>
        <w:tab/>
      </w:r>
      <w:fldSimple w:instr=" PAGEREF _ApevonHeading22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6.2 实际审计结果</w:t>
      </w:r>
      <w:r>
        <w:tab/>
      </w:r>
      <w:fldSimple w:instr=" PAGEREF _ApevonHeading23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6.3 全树规模</w:t>
      </w:r>
      <w:r>
        <w:tab/>
      </w:r>
      <w:fldSimple w:instr=" PAGEREF _ApevonHeading24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6.4 已知缺口</w:t>
      </w:r>
      <w:r>
        <w:tab/>
      </w:r>
      <w:fldSimple w:instr=" PAGEREF _ApevonHeading25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6.5 非空性自检</w:t>
      </w:r>
      <w:r>
        <w:tab/>
      </w:r>
      <w:fldSimple w:instr=" PAGEREF _ApevonHeading26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7. 局限与后续</w:t>
      </w:r>
      <w:r>
        <w:tab/>
      </w:r>
      <w:fldSimple w:instr=" PAGEREF _ApevonHeading27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7.1 本工作的边界</w:t>
      </w:r>
      <w:r>
        <w:tab/>
      </w:r>
      <w:fldSimple w:instr=" PAGEREF _ApevonHeading28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7.2 提交 PR 的形态建议</w:t>
      </w:r>
      <w:r>
        <w:tab/>
      </w:r>
      <w:fldSimple w:instr=" PAGEREF _ApevonHeading29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7.3 可独立上游到 Mathlib 的部分</w:t>
      </w:r>
      <w:r>
        <w:tab/>
      </w:r>
      <w:fldSimple w:instr=" PAGEREF _ApevonHeading30 \h ">
        <w:r>
          <w:t>0</w:t>
        </w:r>
      </w:fldSimple>
    </w:p>
    <w:p ns2:paraId="20D972A3">
      <w:pPr>
        <w:pStyle w:val="8"/>
        <w:rPr>
          <w:b w:val="0"/>
          <w:bCs w:val="0"/>
        </w:rPr>
      </w:pPr>
      <w:r>
        <w:t>7.4 后续可做的加固</w:t>
      </w:r>
      <w:r>
        <w:tab/>
      </w:r>
      <w:fldSimple w:instr=" PAGEREF _ApevonHeading31 \h ">
        <w:r>
          <w:t>0</w:t>
        </w:r>
      </w:fldSimple>
    </w:p>
    <w:p ns2:paraId="0C610E49">
      <w:pPr>
        <w:pStyle w:val="9"/>
        <w:rPr>
          <w:b w:val="0"/>
          <w:bCs w:val="0"/>
        </w:rPr>
      </w:pPr>
      <w:r>
        <w:t>参考文献</w:t>
      </w:r>
      <w:r>
        <w:tab/>
      </w:r>
      <w:fldSimple w:instr=" PAGEREF _ApevonHeading32 \h ">
        <w:r>
          <w:t>0</w:t>
        </w:r>
      </w:fldSimple>
    </w:p>
    <w:p ns2:paraId="0BB8D2FF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ns2:paraId="50A05B98">
      <w:pPr>
        <w:keepNext/>
        <w:spacing w:before="420" w:after="260" w:line="36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8"/>
          <w:szCs w:val="28"/>
        </w:rPr>
        <w:t>图目录</w:t>
      </w:r>
    </w:p>
    <w:p ns2:paraId="1DDC903D">
      <w:pPr>
        <w:pStyle w:val="8"/>
        <w:rPr>
          <w:b w:val="0"/>
          <w:bCs w:val="0"/>
        </w:rPr>
      </w:pPr>
      <w:r>
        <w:t>图 1 引理依赖关系图：从构造 G_m 到目标陈述的推导走向</w:t>
      </w:r>
      <w:r>
        <w:tab/>
      </w:r>
      <w:fldSimple w:instr=" PAGEREF _ApevonFigure1 \h ">
        <w:r>
          <w:t>0</w:t>
        </w:r>
      </w:fldSimple>
    </w:p>
    <w:p ns2:paraId="2BFF4D7B">
      <w:pPr>
        <w:keepNext/>
        <w:pageBreakBefore/>
        <w:spacing w:before="300" w:after="210" w:line="360" w:lineRule="atLeast"/>
        <w:jc w:val="center"/>
        <w:rPr>
          <w:b w:val="0"/>
          <w:bCs w:val="0"/>
        </w:rPr>
      </w:pPr>
      <w:r>
        <w:rPr>
          <w:rFonts w:ascii="Times New Roman" w:hAnsi="Times New Roman" w:eastAsia="Songti SC" w:cs="Times New Roman"/>
          <w:b w:val="0"/>
          <w:bCs w:val="0"/>
          <w:color w:val="000000"/>
          <w:sz w:val="28"/>
          <w:szCs w:val="28"/>
        </w:rPr>
        <w:t>表目录</w:t>
      </w:r>
    </w:p>
    <w:p ns2:paraId="71A3B452">
      <w:pPr>
        <w:pStyle w:val="8"/>
        <w:rPr>
          <w:b w:val="0"/>
          <w:bCs w:val="0"/>
        </w:rPr>
      </w:pPr>
      <w:r>
        <w:t>表 1 构造与基本性质的引理映射</w:t>
      </w:r>
      <w:r>
        <w:tab/>
      </w:r>
      <w:fldSimple w:instr=" PAGEREF _ApevonTable1 \h ">
        <w:r>
          <w:t>0</w:t>
        </w:r>
      </w:fldSimple>
    </w:p>
    <w:p ns2:paraId="5EA0D0B3">
      <w:pPr>
        <w:pStyle w:val="8"/>
        <w:rPr>
          <w:b w:val="0"/>
          <w:bCs w:val="0"/>
        </w:rPr>
      </w:pPr>
      <w:r>
        <w:t>表 2 Lemma 4.2（K_4-free）的引理映射</w:t>
      </w:r>
      <w:r>
        <w:tab/>
      </w:r>
      <w:fldSimple w:instr=" PAGEREF _ApevonTable2 \h ">
        <w:r>
          <w:t>0</w:t>
        </w:r>
      </w:fldSimple>
    </w:p>
    <w:p ns2:paraId="3915801C">
      <w:pPr>
        <w:pStyle w:val="8"/>
        <w:rPr>
          <w:b w:val="0"/>
          <w:bCs w:val="0"/>
        </w:rPr>
      </w:pPr>
      <w:r>
        <w:t>表 3 Lemma 4.3 与 4.4（颜色强制与脊块传播）的引理映射</w:t>
      </w:r>
      <w:r>
        <w:tab/>
      </w:r>
      <w:fldSimple w:instr=" PAGEREF _ApevonTable3 \h ">
        <w:r>
          <w:t>0</w:t>
        </w:r>
      </w:fldSimple>
    </w:p>
    <w:p ns2:paraId="225FBCF4">
      <w:pPr>
        <w:pStyle w:val="8"/>
        <w:rPr>
          <w:b w:val="0"/>
          <w:bCs w:val="0"/>
        </w:rPr>
      </w:pPr>
      <w:r>
        <w:t>表 4 Proposition 4.5（χ(G_m) = 4）的引理映射</w:t>
      </w:r>
      <w:r>
        <w:tab/>
      </w:r>
      <w:fldSimple w:instr=" PAGEREF _ApevonTable4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5 Proposition 4.6（真子图 2-degenerate）的引理映射</w:t>
      </w:r>
      <w:r>
        <w:tab/>
      </w:r>
      <w:fldSimple w:instr=" PAGEREF _ApevonTable5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6 Lemma 4.7 至 Proposition 4.10（弦数上界）的引理映射</w:t>
      </w:r>
      <w:r>
        <w:tab/>
      </w:r>
      <w:fldSimple w:instr=" PAGEREF _ApevonTable6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7 Theorem 4.1 组装与搬运引理的映射</w:t>
      </w:r>
      <w:r>
        <w:tab/>
      </w:r>
      <w:fldSimple w:instr=" PAGEREF _ApevonTable7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8 枚举证明的使用位置与规模</w:t>
      </w:r>
      <w:r>
        <w:tab/>
      </w:r>
      <w:fldSimple w:instr=" PAGEREF _ApevonTable8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9 机械审计门的实际结果</w:t>
      </w:r>
      <w:r>
        <w:tab/>
      </w:r>
      <w:fldSimple w:instr=" PAGEREF _ApevonTable9 \h ">
        <w:r>
          <w:t>0</w:t>
        </w:r>
      </w:fldSimple>
    </w:p>
    <w:p ns2:paraId="2C5D1B42">
      <w:pPr>
        <w:pStyle w:val="8"/>
        <w:rPr>
          <w:b w:val="0"/>
          <w:bCs w:val="0"/>
        </w:rPr>
      </w:pPr>
      <w:r>
        <w:t>表 10 自有 Lean 源码的文件规模</w:t>
      </w:r>
      <w:r>
        <w:tab/>
      </w:r>
      <w:fldSimple w:instr=" PAGEREF _ApevonTable10 \h ">
        <w:r>
          <w:t>0</w:t>
        </w:r>
      </w:fldSimple>
    </w:p>
    <w:p ns2:paraId="2C5D1B42">
      <w:pPr>
        <w:pStyle w:val="8"/>
        <w:rPr>
          <w:b w:val="0"/>
          <w:bCs w:val="0"/>
        </w:rPr>
        <w:sectPr>
          <w:footerReference ns6:id="rId3" w:type="default"/>
          <w:pgSz w:w="11906" w:h="16838"/>
          <w:pgMar w:top="920" w:right="1053" w:bottom="920" w:left="1053" w:header="390" w:footer="420" w:gutter="0"/>
          <w:pgNumType w:fmt="decimal" w:start="1"/>
          <w:cols w:space="720" w:num="1"/>
        </w:sectPr>
      </w:pPr>
    </w:p>
    <w:p>
      <w:pPr>
        <w:pStyle w:val="2"/>
      </w:pPr>
      <w:bookmarkStart w:id="1001" w:name="_ApevonHeading1"/>
      <w:r>
        <w:rPr>
          <w:rFonts w:ascii="Times New Roman" w:hAnsi="Times New Roman" w:eastAsia="Songti SC"/>
        </w:rPr>
        <w:t>Erdős 1091 反例的 Lean 4 形式化</w:t>
      </w:r>
      <w:bookmarkEnd w:id="1001"/>
    </w:p>
    <w:p>
      <w:pPr>
        <w:pStyle w:val="4"/>
      </w:pPr>
      <w:bookmarkStart w:id="1002" w:name="_ApevonHeading2"/>
      <w:r>
        <w:rPr>
          <w:rFonts w:ascii="Times New Roman" w:hAnsi="Times New Roman" w:eastAsia="Songti SC"/>
        </w:rPr>
        <w:t>1. 本工作的定位与 credit 归属</w:t>
      </w:r>
      <w:bookmarkEnd w:id="1002"/>
    </w:p>
    <w:p>
      <w:pPr>
        <w:pStyle w:val="3"/>
      </w:pPr>
      <w:r>
        <w:rPr>
          <w:rFonts w:ascii="Times New Roman" w:hAnsi="Times New Roman" w:eastAsia="Songti SC"/>
        </w:rPr>
        <w:t>本工作把 arXiv:2604.06609《Short proofs in combinatorics, probability and number theory II》（Alexeev–Putterman–Sawhney–Sellke–Valiant，2026 年 4 月）第 4 节 Theorem 4.1 的构造与证明，重建为一份可由 Lean 4 内核检查的形式化证明。</w:t>
      </w:r>
    </w:p>
    <w:p>
      <w:pPr>
        <w:pStyle w:val="3"/>
      </w:pPr>
      <w:r>
        <w:rPr>
          <w:rFonts w:ascii="Times New Roman" w:hAnsi="Times New Roman" w:eastAsia="Songti SC"/>
          <w:b/>
        </w:rPr>
        <w:t>数学内容不属于本工作。</w:t>
      </w:r>
      <w:r>
        <w:rPr>
          <w:rFonts w:ascii="Times New Roman" w:hAnsi="Times New Roman" w:eastAsia="Songti SC"/>
        </w:rPr>
        <w:t xml:space="preserve"> 图 G_m 的构造、四个结论的证明思路以及全部关键引理，均由上述五位作者完成，prover credit 完整归属原作者。本工作所主张的是独立的 </w:t>
      </w:r>
      <w:r>
        <w:rPr>
          <w:rFonts w:ascii="Times New Roman" w:hAnsi="Times New Roman" w:eastAsia="Songti SC"/>
          <w:b/>
        </w:rPr>
        <w:t>formalizer credit</w:t>
      </w:r>
      <w:r>
        <w:rPr>
          <w:rFonts w:ascii="Times New Roman" w:hAnsi="Times New Roman" w:eastAsia="Songti SC"/>
        </w:rPr>
        <w:t>，即把已有的纸面证明翻译成 Lean、补齐纸面上被略过的推理细节、并让整份证明通过内核检查这一部分劳动。凡是形式化过程中与论文路线产生偏离之处，本文第 5 节逐条列出并说明理由；这些偏离都是证明工程上的选择，不构成新的数学结论。</w:t>
      </w:r>
    </w:p>
    <w:p>
      <w:pPr>
        <w:pStyle w:val="3"/>
      </w:pPr>
      <w:r>
        <w:rPr>
          <w:rFonts w:ascii="Times New Roman" w:hAnsi="Times New Roman" w:eastAsia="Songti SC"/>
        </w:rPr>
        <w:t xml:space="preserve">与 formal-conjectures 仓库 PR #5870（作者 stantheman0128）的关系如下。该 PR 是 statement-only 的：它给出了 Erdős 1091 的目标陈述，以及陈述所依赖的 </w:t>
      </w:r>
      <w:r>
        <w:rPr>
          <w:rFonts w:ascii="Times New Roman" w:hAnsi="Times New Roman" w:eastAsia="Songti SC"/>
        </w:rPr>
        <w:t>SimpleGraph.Cycle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Cycle.chords</w:t>
      </w:r>
      <w:r>
        <w:rPr>
          <w:rFonts w:ascii="Times New Roman" w:hAnsi="Times New Roman" w:eastAsia="Songti SC"/>
        </w:rPr>
        <w:t xml:space="preserve"> API，但定理本身的证明是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 xml:space="preserve">。本工作直接采用该 PR 的目标陈述与 API 作为基座，不另造一套弦的定义，填入的正是那条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 xml:space="preserve">。目标陈述 </w:t>
      </w:r>
      <w:r>
        <w:rPr>
          <w:rFonts w:ascii="Times New Roman" w:hAnsi="Times New Roman" w:eastAsia="Songti SC"/>
        </w:rPr>
        <w:t>erdos_1091.variants.counterexample</w:t>
      </w:r>
      <w:r>
        <w:rPr>
          <w:rFonts w:ascii="Times New Roman" w:hAnsi="Times New Roman" w:eastAsia="Songti SC"/>
        </w:rPr>
        <w:t xml:space="preserve"> 的签名已用脚本做过字符级比对，与 PR 中的 </w:t>
      </w:r>
      <w:r>
        <w:rPr>
          <w:rFonts w:ascii="Times New Roman" w:hAnsi="Times New Roman" w:eastAsia="Songti SC"/>
        </w:rPr>
        <w:t>FormalConjectures/ErdosProblems/1091.lean</w:t>
      </w:r>
      <w:r>
        <w:rPr>
          <w:rFonts w:ascii="Times New Roman" w:hAnsi="Times New Roman" w:eastAsia="Songti SC"/>
        </w:rPr>
        <w:t xml:space="preserve"> 完全一致。PR 附带的两个基座文件随交付物一并保留，其原始版权头原样未动，那部分不是本工作的产出。</w:t>
      </w:r>
    </w:p>
    <w:p>
      <w:pPr>
        <w:pStyle w:val="4"/>
      </w:pPr>
      <w:bookmarkStart w:id="1003" w:name="_ApevonHeading3"/>
      <w:r>
        <w:rPr>
          <w:rFonts w:ascii="Times New Roman" w:hAnsi="Times New Roman" w:eastAsia="Songti SC"/>
        </w:rPr>
        <w:t>2. 原问题与答案</w:t>
      </w:r>
      <w:bookmarkEnd w:id="1003"/>
    </w:p>
    <w:p>
      <w:pPr>
        <w:pStyle w:val="3"/>
      </w:pPr>
      <w:r>
        <w:rPr>
          <w:rFonts w:ascii="Times New Roman" w:hAnsi="Times New Roman" w:eastAsia="Songti SC"/>
        </w:rPr>
        <w:t>Erdős 1091 问的是：是否存在一个趋于无穷的函数 f(r)，使得每个色数为 4、且所有不超过 r 个顶点的子图都 3-可着色的图 G，都包含一个带至少 f(r) 条弦的奇圈？</w:t>
      </w:r>
    </w:p>
    <w:p>
      <w:pPr>
        <w:pStyle w:val="3"/>
      </w:pPr>
      <w:r>
        <w:rPr>
          <w:rFonts w:ascii="Times New Roman" w:hAnsi="Times New Roman" w:eastAsia="Songti SC"/>
          <w:b/>
        </w:rPr>
        <w:t>答案为否。</w:t>
      </w:r>
      <w:r>
        <w:rPr>
          <w:rFonts w:ascii="Times New Roman" w:hAnsi="Times New Roman" w:eastAsia="Songti SC"/>
        </w:rPr>
        <w:t xml:space="preserve"> 反例由下述定理给出。</w:t>
      </w:r>
    </w:p>
    <w:p>
      <w:pPr>
        <w:pStyle w:val="12"/>
      </w:pPr>
      <w:r>
        <w:rPr>
          <w:rFonts w:ascii="Times New Roman" w:hAnsi="Times New Roman" w:eastAsia="Songti SC"/>
          <w:b/>
        </w:rPr>
        <w:t>Theorem 4.1.</w:t>
      </w:r>
      <w:r>
        <w:rPr>
          <w:rFonts w:ascii="Times New Roman" w:hAnsi="Times New Roman" w:eastAsia="Songti SC"/>
        </w:rPr>
        <w:t xml:space="preserve"> 对每个整数 m ≥ 1，存在显式的 K</w:t>
      </w:r>
      <w:r>
        <w:rPr>
          <w:rFonts w:ascii="Times New Roman" w:hAnsi="Times New Roman" w:eastAsia="Songti SC"/>
          <w:i/>
        </w:rPr>
        <w:t>4-free 图 G</w:t>
      </w:r>
      <w:r>
        <w:rPr>
          <w:rFonts w:ascii="Times New Roman" w:hAnsi="Times New Roman" w:eastAsia="Songti SC"/>
        </w:rPr>
        <w:t>m，它有 20m+31 个顶点，并满足：</w:t>
      </w:r>
    </w:p>
    <w:p>
      <w:pPr>
        <w:pStyle w:val="12"/>
      </w:pPr>
      <w:r>
        <w:rPr>
          <w:rFonts w:ascii="Times New Roman" w:hAnsi="Times New Roman" w:eastAsia="Songti SC"/>
        </w:rPr>
        <w:t>(1) χ(G_m) = 4；</w:t>
      </w:r>
    </w:p>
    <w:p>
      <w:pPr>
        <w:pStyle w:val="12"/>
      </w:pPr>
      <w:r>
        <w:rPr>
          <w:rFonts w:ascii="Times New Roman" w:hAnsi="Times New Roman" w:eastAsia="Songti SC"/>
        </w:rPr>
        <w:t>(2) 每个真子图 H ⊊ G_m 是 2-degenerate，因而 3-可着色；</w:t>
      </w:r>
    </w:p>
    <w:p>
      <w:pPr>
        <w:pStyle w:val="12"/>
      </w:pPr>
      <w:r>
        <w:rPr>
          <w:rFonts w:ascii="Times New Roman" w:hAnsi="Times New Roman" w:eastAsia="Songti SC"/>
        </w:rPr>
        <w:t>(3) 每个圈 C 满足 ch(C) ≤ 10。</w:t>
      </w:r>
    </w:p>
    <w:p>
      <w:pPr>
        <w:pStyle w:val="3"/>
      </w:pPr>
      <w:r>
        <w:rPr>
          <w:rFonts w:ascii="Times New Roman" w:hAnsi="Times New Roman" w:eastAsia="Songti SC"/>
        </w:rPr>
        <w:t>关键在于弦数上界 10 是一个</w:t>
      </w:r>
      <w:r>
        <w:rPr>
          <w:rFonts w:ascii="Times New Roman" w:hAnsi="Times New Roman" w:eastAsia="Songti SC"/>
          <w:b/>
        </w:rPr>
        <w:t>与 m 无关的绝对常数</w:t>
      </w:r>
      <w:r>
        <w:rPr>
          <w:rFonts w:ascii="Times New Roman" w:hAnsi="Times New Roman" w:eastAsia="Songti SC"/>
        </w:rPr>
        <w:t>，而条件 (2) 使得局部可着色参数 r 可以随 m 一起任意增大。于是任何候选的 f(r) 都被这一族图压在 10 以下，f(r) → ∞ 不可能成立。</w:t>
      </w:r>
    </w:p>
    <w:p>
      <w:pPr>
        <w:pStyle w:val="4"/>
      </w:pPr>
      <w:bookmarkStart w:id="1004" w:name="_ApevonHeading4"/>
      <w:r>
        <w:rPr>
          <w:rFonts w:ascii="Times New Roman" w:hAnsi="Times New Roman" w:eastAsia="Songti SC"/>
        </w:rPr>
        <w:t>3. 构造 G_m</w:t>
      </w:r>
      <w:bookmarkEnd w:id="1004"/>
    </w:p>
    <w:p>
      <w:pPr>
        <w:pStyle w:val="3"/>
      </w:pPr>
      <w:r>
        <w:rPr>
          <w:rFonts w:ascii="Times New Roman" w:hAnsi="Times New Roman" w:eastAsia="Songti SC"/>
        </w:rPr>
        <w:t>G_m 是若干五边形块拼成的毛毛虫，外加一个特殊顶点 v。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  <w:b/>
        </w:rPr>
        <w:t>脊块</w:t>
      </w:r>
      <w:r>
        <w:rPr>
          <w:rFonts w:ascii="Times New Roman" w:hAnsi="Times New Roman" w:eastAsia="Songti SC"/>
        </w:rPr>
        <w:t xml:space="preserve"> S</w:t>
      </w:r>
      <w:r>
        <w:rPr>
          <w:rFonts w:ascii="Times New Roman" w:hAnsi="Times New Roman" w:eastAsia="Songti SC"/>
          <w:i/>
        </w:rPr>
        <w:t>0, …, S</w:t>
      </w:r>
      <w:r>
        <w:rPr>
          <w:rFonts w:ascii="Times New Roman" w:hAnsi="Times New Roman" w:eastAsia="Songti SC"/>
        </w:rPr>
        <w:t>m，每块是一个 5-圈，顶点按环序标记为 a, b, c, d, e。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  <w:b/>
        </w:rPr>
        <w:t>叶块</w:t>
      </w:r>
      <w:r>
        <w:rPr>
          <w:rFonts w:ascii="Times New Roman" w:hAnsi="Times New Roman" w:eastAsia="Songti SC"/>
        </w:rPr>
        <w:t>：S</w:t>
      </w:r>
      <w:r>
        <w:rPr>
          <w:rFonts w:ascii="Times New Roman" w:hAnsi="Times New Roman" w:eastAsia="Songti SC"/>
          <w:i/>
        </w:rPr>
        <w:t>0 挂 4 个叶块，对应槽位 a、b、d、e；中间的 S</w:t>
      </w:r>
      <w:r>
        <w:rPr>
          <w:rFonts w:ascii="Times New Roman" w:hAnsi="Times New Roman" w:eastAsia="Songti SC"/>
        </w:rPr>
        <w:t>i（1 ≤ i ≤ m−1）各挂 3 个，对应槽位 b、d、e；S_m 挂 4 个，对应槽位 b、c、d、e。每个叶块同样是一个 5-圈。块的总数为 4m+6。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  <w:b/>
        </w:rPr>
        <w:t>块间边</w:t>
      </w:r>
      <w:r>
        <w:rPr>
          <w:rFonts w:ascii="Times New Roman" w:hAnsi="Times New Roman" w:eastAsia="Songti SC"/>
        </w:rPr>
        <w:t>：挂在脊块 S</w:t>
      </w:r>
      <w:r>
        <w:rPr>
          <w:rFonts w:ascii="Times New Roman" w:hAnsi="Times New Roman" w:eastAsia="Songti SC"/>
          <w:i/>
        </w:rPr>
        <w:t>i 槽位 x 上的叶块记作 L(i, x)，它通过边 S</w:t>
      </w:r>
      <w:r>
        <w:rPr>
          <w:rFonts w:ascii="Times New Roman" w:hAnsi="Times New Roman" w:eastAsia="Songti SC"/>
        </w:rPr>
        <w:t>i[x] — L(i, x)[x] 挂到脊块上；相邻脊块之间有边 S_i[c] — S(i+1)[a]，其中 0 ≤ i &lt; m。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  <w:b/>
        </w:rPr>
        <w:t>特殊顶点 v</w:t>
      </w:r>
      <w:r>
        <w:rPr>
          <w:rFonts w:ascii="Times New Roman" w:hAnsi="Times New Roman" w:eastAsia="Songti SC"/>
        </w:rPr>
        <w:t>：对每个叶块，v 连到该块中除挂接点以外的 4 个顶点。v 不与任何脊块相连。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记 G'</w:t>
      </w:r>
      <w:r>
        <w:rPr>
          <w:rFonts w:ascii="Times New Roman" w:hAnsi="Times New Roman" w:eastAsia="Songti SC"/>
          <w:i/>
        </w:rPr>
        <w:t>m := G</w:t>
      </w:r>
      <w:r>
        <w:rPr>
          <w:rFonts w:ascii="Times New Roman" w:hAnsi="Times New Roman" w:eastAsia="Songti SC"/>
        </w:rPr>
        <w:t>m \ {v}。除 v 以外，每个顶点的度数恰为 3。</w:t>
      </w:r>
    </w:p>
    <w:p>
      <w:pPr>
        <w:pStyle w:val="3"/>
      </w:pPr>
      <w:r>
        <w:rPr>
          <w:rFonts w:ascii="Times New Roman" w:hAnsi="Times New Roman" w:eastAsia="Songti SC"/>
        </w:rPr>
        <w:t xml:space="preserve">顶点总数由此为 5(4m+6)+1 = 20m+31，与定理陈述一致；形式化中这一计数是被证明的定理 </w:t>
      </w:r>
      <w:r>
        <w:rPr>
          <w:rFonts w:ascii="Times New Roman" w:hAnsi="Times New Roman" w:eastAsia="Songti SC"/>
        </w:rPr>
        <w:t>card_vtx</w:t>
      </w:r>
      <w:r>
        <w:rPr>
          <w:rFonts w:ascii="Times New Roman" w:hAnsi="Times New Roman" w:eastAsia="Songti SC"/>
        </w:rPr>
        <w:t>，不是注释里的算术。</w:t>
      </w:r>
    </w:p>
    <w:p>
      <w:pPr>
        <w:pStyle w:val="3"/>
      </w:pPr>
      <w:r>
        <w:rPr>
          <w:rFonts w:ascii="Times New Roman" w:hAnsi="Times New Roman" w:eastAsia="Songti SC"/>
          <w:b/>
        </w:rPr>
        <w:t>不对称性是本质的，不是构造上的随意选择。</w:t>
      </w:r>
      <w:r>
        <w:rPr>
          <w:rFonts w:ascii="Times New Roman" w:hAnsi="Times New Roman" w:eastAsia="Songti SC"/>
        </w:rPr>
        <w:t xml:space="preserve"> S</w:t>
      </w:r>
      <w:r>
        <w:rPr>
          <w:rFonts w:ascii="Times New Roman" w:hAnsi="Times New Roman" w:eastAsia="Songti SC"/>
          <w:i/>
        </w:rPr>
        <w:t>0 没有 c-叶块，S</w:t>
      </w:r>
      <w:r>
        <w:rPr>
          <w:rFonts w:ascii="Times New Roman" w:hAnsi="Times New Roman" w:eastAsia="Songti SC"/>
        </w:rPr>
        <w:t>m 没有 a-叶块。第 4 节的 Lemma 4.4 与 Proposition 4.5 完全依赖这一点：脊块上的颜色传播从两端各推出一个结论，而两个结论互相矛盾，矛盾才逼出“不可 3-着色”。在 Lean 源码里，这条不对称性只写在一处——</w:t>
      </w:r>
      <w:r>
        <w:rPr>
          <w:rFonts w:ascii="Times New Roman" w:hAnsi="Times New Roman" w:eastAsia="Songti SC"/>
        </w:rPr>
        <w:t>Block.validB</w:t>
      </w:r>
      <w:r>
        <w:rPr>
          <w:rFonts w:ascii="Times New Roman" w:hAnsi="Times New Roman" w:eastAsia="Songti SC"/>
        </w:rPr>
        <w:t xml:space="preserve"> 这个布尔判定式的两个分支——而不是散落在各引理的附加假设中。这样做的好处是，任何试图对称化构造的改动都会在这一处立刻暴露，而不是在下游某条证明里悄悄失效。</w:t>
      </w:r>
    </w:p>
    <w:p>
      <w:pPr>
        <w:pStyle w:val="3"/>
      </w:pPr>
      <w:r>
        <w:rPr>
          <w:rFonts w:ascii="Times New Roman" w:hAnsi="Times New Roman" w:eastAsia="Songti SC"/>
        </w:rPr>
        <w:t>形式化期间对上游工单里的一处数值做了更正：v 的度数不是 4·(4m+6) 而是 12m+20，因为 v 只连叶块、不连脊块，叶块数是 3m+5 而非 4m+6。该更正已经过实测确认（m = 2 时 deg(v) = 44）。这不影响定理的任何结论，但影响度数论证的中间步骤。</w:t>
      </w:r>
    </w:p>
    <w:p>
      <w:pPr>
        <w:pStyle w:val="4"/>
      </w:pPr>
      <w:bookmarkStart w:id="1005" w:name="_ApevonHeading5"/>
      <w:r>
        <w:rPr>
          <w:rFonts w:ascii="Times New Roman" w:hAnsi="Times New Roman" w:eastAsia="Songti SC"/>
        </w:rPr>
        <w:t>4. 引理映射表</w:t>
      </w:r>
      <w:bookmarkEnd w:id="1005"/>
    </w:p>
    <w:p>
      <w:pPr>
        <w:pStyle w:val="3"/>
      </w:pPr>
      <w:r>
        <w:rPr>
          <w:rFonts w:ascii="Times New Roman" w:hAnsi="Times New Roman" w:eastAsia="Songti SC"/>
        </w:rPr>
        <w:t xml:space="preserve">下表是评审的入口：论文编号、对应的 Lean 声明、所在文件与行号、以及状态。行号对应交付目录 </w:t>
      </w:r>
      <w:r>
        <w:rPr>
          <w:rFonts w:ascii="Times New Roman" w:hAnsi="Times New Roman" w:eastAsia="Songti SC"/>
        </w:rPr>
        <w:t>output/erdos-1091-lean/lean/</w:t>
      </w:r>
      <w:r>
        <w:rPr>
          <w:rFonts w:ascii="Times New Roman" w:hAnsi="Times New Roman" w:eastAsia="Songti SC"/>
        </w:rPr>
        <w:t xml:space="preserve"> 下的文件。状态一列全部为“已证”，依据是第 6 节所列的机械审计输出，不是主观判断。</w:t>
      </w:r>
    </w:p>
    <w:p>
      <w:pPr>
        <w:pStyle w:val="5"/>
      </w:pPr>
      <w:bookmarkStart w:id="1006" w:name="_ApevonHeading6"/>
      <w:r>
        <w:rPr>
          <w:rFonts w:ascii="Times New Roman" w:hAnsi="Times New Roman" w:eastAsia="Songti SC"/>
        </w:rPr>
        <w:t>4.1 构造与基本性质</w:t>
      </w:r>
      <w:bookmarkEnd w:id="1006"/>
    </w:p>
    <w:p>
      <w:pPr>
        <w:pStyle w:val="15"/>
        <w:keepNext/>
      </w:pPr>
      <w:bookmarkStart w:id="1007" w:name="_ApevonTable1"/>
      <w:r>
        <w:rPr>
          <w:rFonts w:ascii="Times New Roman" w:hAnsi="Times New Roman" w:eastAsia="Songti SC"/>
        </w:rPr>
        <w:t>表 1 构造与基本性质的引理映射</w:t>
      </w:r>
      <w:bookmarkEnd w:id="1007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块计数 4m+6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card_validBlock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Erdos1091/Construction.lean:338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顶点计数 20m+31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card_vtx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Erdos1091/Construction.lean:369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非 v 顶点度数恰为 3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degree_eq_three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Erdos1091/Construction.lean:824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G'_m 最大度 ≤ 3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G'_degree_le_three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Erdos1091/Construction.lean:839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G'_m 连通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G'_reachable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Erdos1091/Construction.lean:510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08" w:name="_ApevonHeading7"/>
      <w:r>
        <w:rPr>
          <w:rFonts w:ascii="Times New Roman" w:hAnsi="Times New Roman" w:eastAsia="Songti SC"/>
        </w:rPr>
        <w:t>4.2 Lemma 4.2：G</w:t>
      </w:r>
      <w:r>
        <w:rPr>
          <w:rFonts w:ascii="Times New Roman" w:hAnsi="Times New Roman" w:eastAsia="Songti SC"/>
          <w:i/>
        </w:rPr>
        <w:t>m 是 K</w:t>
      </w:r>
      <w:r>
        <w:rPr>
          <w:rFonts w:ascii="Times New Roman" w:hAnsi="Times New Roman" w:eastAsia="Songti SC"/>
        </w:rPr>
        <w:t>4-free</w:t>
      </w:r>
      <w:bookmarkEnd w:id="1008"/>
    </w:p>
    <w:p>
      <w:pPr>
        <w:pStyle w:val="15"/>
        <w:keepNext/>
      </w:pPr>
      <w:bookmarkStart w:id="1009" w:name="_ApevonTable2"/>
      <w:r>
        <w:rPr>
          <w:rFonts w:ascii="Times New Roman" w:hAnsi="Times New Roman" w:eastAsia="Songti SC"/>
        </w:rPr>
        <w:t>表 2 Lemma 4.2（K_4-free）的引理映射</w:t>
      </w:r>
      <w:bookmarkEnd w:id="1009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块图无三角形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no_block_triangle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Erdos1091/CliqueFree.lean:170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五边形无 rim 三角形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no_rim_triangle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Erdos1091/CliqueFree.lean:204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G'_m 无三角形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G'_no_triangle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Erdos1091/CliqueFree.lean:217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G'_m 三角形自由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G'_cliqueFree_three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Erdos1091/CliqueFree.lean:248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N(v) 三角形自由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neighbor_v_cliqueFree_three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Erdos1091/CliqueFree.lean:269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4.2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：G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  <w:i/>
              </w:rPr>
              <w:t>m 是 K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4-free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G_cliqueFree_four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Erdos1091/CliqueFree.lean:291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10" w:name="_ApevonHeading8"/>
      <w:r>
        <w:rPr>
          <w:rFonts w:ascii="Times New Roman" w:hAnsi="Times New Roman" w:eastAsia="Songti SC"/>
        </w:rPr>
        <w:t>4.3 Lemma 4.3 与 4.4：颜色强制与脊块传播</w:t>
      </w:r>
      <w:bookmarkEnd w:id="1010"/>
    </w:p>
    <w:p>
      <w:pPr>
        <w:pStyle w:val="15"/>
        <w:keepNext/>
      </w:pPr>
      <w:bookmarkStart w:id="1011" w:name="_ApevonTable3"/>
      <w:r>
        <w:rPr>
          <w:rFonts w:ascii="Times New Roman" w:hAnsi="Times New Roman" w:eastAsia="Songti SC"/>
        </w:rPr>
        <w:t>表 3 Lemma 4.3 与 4.4（颜色强制与脊块传播）的引理映射</w:t>
      </w:r>
      <w:bookmarkEnd w:id="1011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 点路径在两色上交替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path_four_alternates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Erdos1091/Coloring.lean:136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两个相异的避 α 邻点强制 α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eq_of_ne_two_ne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Erdos1091/Coloring.lean:147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4.3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：叶块挂接点取 v 的颜色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leaf_attachment_eq_alpha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Erdos1091/Coloring.lean:158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带叶的脊槽位避开 α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spine_with_leaf_ne_alpha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Erdos1091/Coloring.lean:181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脊五边形在槽位 c 强制 α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pentagon_forces_c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Erdos1091/Coloring.lean:197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脊五边形在槽位 a 强制 α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pentagon_forces_a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Erdos1091/Coloring.lean:208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4.4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局部步：S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  <w:i/>
              </w:rPr>
              <w:t>i[a] ≠ α ⇒ S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i[c] = α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spine_c_of_a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Erdos1091/Coloring.lean:237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4.4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情形 (1)(2)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spine_c_eq_alpha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Erdos1091/Coloring.lean:282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4.4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情形 (3)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spine_last_a_eq_alpha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Erdos1091/Coloring.lean:294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12" w:name="_ApevonHeading9"/>
      <w:r>
        <w:rPr>
          <w:rFonts w:ascii="Times New Roman" w:hAnsi="Times New Roman" w:eastAsia="Songti SC"/>
        </w:rPr>
        <w:t>4.4 Proposition 4.5：χ(G_m) = 4</w:t>
      </w:r>
      <w:bookmarkEnd w:id="1012"/>
    </w:p>
    <w:p>
      <w:pPr>
        <w:pStyle w:val="15"/>
        <w:keepNext/>
      </w:pPr>
      <w:bookmarkStart w:id="1013" w:name="_ApevonTable4"/>
      <w:r>
        <w:rPr>
          <w:rFonts w:ascii="Times New Roman" w:hAnsi="Times New Roman" w:eastAsia="Songti SC"/>
        </w:rPr>
        <w:t>表 4 Proposition 4.5（χ(G_m) = 4）的引理映射</w:t>
      </w:r>
      <w:bookmarkEnd w:id="1013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沿脊块的归纳传播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spine_a_ne_alpha_aux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Erdos1091/Coloring.lean:252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传播到末端：S_m[a] ≠ α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spine_last_a_ne_alpha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Erdos1091/Coloring.lean:315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4.5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下界：G_m 不是 3-可着色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G_not_colorable_three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Erdos1091/Coloring.lean:328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显式 4-着色（与 m 无关）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color4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Erdos1091/Coloring.lean:378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该着色合法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color4_valid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Erdos1091/Coloring.lean:400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4.5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上界：G_m 是 4-可着色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G_colorable_four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Erdos1091/Coloring.lean:439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4.5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：χ(G_m) = 4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G_chromaticNumber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Erdos1091/Coloring.lean:443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14" w:name="_ApevonHeading10"/>
      <w:r>
        <w:rPr>
          <w:rFonts w:ascii="Times New Roman" w:hAnsi="Times New Roman" w:eastAsia="Songti SC"/>
        </w:rPr>
        <w:t>4.5 Proposition 4.6：真子图 2-degenerate</w:t>
      </w:r>
      <w:bookmarkEnd w:id="1014"/>
    </w:p>
    <w:p>
      <w:pPr>
        <w:pStyle w:val="15"/>
        <w:keepNext/>
      </w:pPr>
      <w:bookmarkStart w:id="1015" w:name="_ApevonTable5"/>
      <w:r>
        <w:rPr>
          <w:rFonts w:ascii="Times New Roman" w:hAnsi="Times New Roman" w:eastAsia="Songti SC"/>
        </w:rPr>
        <w:t>表 5 Proposition 4.6（真子图 2-degenerate）的引理映射</w:t>
      </w:r>
      <w:bookmarkEnd w:id="1015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2-degenerate 的定义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IsTwoDegenerate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Erdos1091/DegenerateCore.lean:55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贪心着色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greedy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Erdos1091/DegenerateCore.lean:83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通用件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：2-degenerate ⇒ 3-可着色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colorable_three_of_isTwoDegenerate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Erdos1091/DegenerateCore.lean:132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每条边有一端不是 v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exists_ne_v_of_adj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Erdos1091/Degenerate.lean:66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4.6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：真子图 2-degenerate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proper_subgraph_isTwoDegenerate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Erdos1091/Degenerate.lean:223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真子图有度数 ≤ 2 的顶点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exists_degree_le_two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Erdos1091/Degenerate.lean:245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4.6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：真子图 3-可着色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proper_subgraph_chromaticNumber_le_three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Erdos1091/Degenerate.lean:258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16" w:name="_ApevonHeading11"/>
      <w:r>
        <w:rPr>
          <w:rFonts w:ascii="Times New Roman" w:hAnsi="Times New Roman" w:eastAsia="Songti SC"/>
        </w:rPr>
        <w:t>4.6 Lemma 4.7 至 Proposition 4.10：弦数上界</w:t>
      </w:r>
      <w:bookmarkEnd w:id="1016"/>
    </w:p>
    <w:p>
      <w:pPr>
        <w:pStyle w:val="15"/>
        <w:keepNext/>
      </w:pPr>
      <w:bookmarkStart w:id="1017" w:name="_ApevonTable6"/>
      <w:r>
        <w:rPr>
          <w:rFonts w:ascii="Times New Roman" w:hAnsi="Times New Roman" w:eastAsia="Songti SC"/>
        </w:rPr>
        <w:t>表 6 Lemma 4.7 至 Proposition 4.10（弦数上界）的引理映射</w:t>
      </w:r>
      <w:bookmarkEnd w:id="1017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通用割边装置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IsSide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IsSide.isBridge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Erdos1091/Chords.lean:98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116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叶块是其挂接边的一侧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isSide_leaf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Erdos1091/Chords.lean:173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脊前段是脊边的一侧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isSide_spine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Erdos1091/Chords.lean:202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4.7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引擎：块间边是割边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interAdj_isBridge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Erdos1091/Chords.lean:247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4.7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：G'_m 的圈含于单块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G'_cycle_within_block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Erdos1091/Chords.lean:308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不含 v 的圈弦数 ≤ 5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cycle_chords_le_five_of_notMem_v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Erdos1091/Chords.lean:361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五边形有限计数：每块至多一条弦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slot_count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Erdos1091/Chords.lean:409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圈过 v 时切成无 v 路径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exists_vPath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Erdos1091/Chords.lean:454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4.8/4.9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核心：出块边指向路径端点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exit_of_mem_P_edges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Erdos1091/Chords.lean:618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4.8/4.9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：每块至多一条弦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chordSlots_card_le_one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Erdos1091/Chords.lean:983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4.8/4.9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：带弦的块至多四个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mem_specialBlocks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Erdos1091/Chords.lean:1022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4.10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的 v ∈ C 分支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chords_le_ten_of_mem_v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Erdos1091/Chords.lean:1099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4.10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：每个圈弦数 ≤ 10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cycle_chords_le_ten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Erdos1091/Chords.lean:1270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18" w:name="_ApevonHeading12"/>
      <w:r>
        <w:rPr>
          <w:rFonts w:ascii="Times New Roman" w:hAnsi="Times New Roman" w:eastAsia="Songti SC"/>
        </w:rPr>
        <w:t>4.7 Theorem 4.1 的组装</w:t>
      </w:r>
      <w:bookmarkEnd w:id="1018"/>
    </w:p>
    <w:p>
      <w:pPr>
        <w:pStyle w:val="15"/>
        <w:keepNext/>
      </w:pPr>
      <w:bookmarkStart w:id="1019" w:name="_ApevonTable7"/>
      <w:r>
        <w:rPr>
          <w:rFonts w:ascii="Times New Roman" w:hAnsi="Times New Roman" w:eastAsia="Songti SC"/>
        </w:rPr>
        <w:t>表 7 Theorem 4.1 组装与搬运引理的映射</w:t>
      </w:r>
      <w:bookmarkEnd w:id="1019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853"/>
        <w:gridCol w:w="2780"/>
        <w:gridCol w:w="2780"/>
        <w:gridCol w:w="2677"/>
      </w:tblGrid>
      <w:tr>
        <w:trPr>
          <w:cantSplit/>
          <w:trHeight w:val="360" w:hRule="atLeast"/>
          <w:tblHeader/>
          <w:jc w:val="center"/>
        </w:trPr>
        <w:tc>
          <w:tcPr>
            <w:tcW w:w="1853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论文位置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Lean 声明</w:t>
            </w:r>
          </w:p>
        </w:tc>
        <w:tc>
          <w:tcPr>
            <w:tcW w:w="2780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文件:行</w:t>
            </w:r>
          </w:p>
        </w:tc>
        <w:tc>
          <w:tcPr>
            <w:tcW w:w="2677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状态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CliqueFree 沿等价搬运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cliqueFree_map_equiv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Erdos1091/Main.lean:76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chromaticNumber 沿等价搬运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chromaticNumber_map_equiv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Erdos1091/Main.lean:81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通用件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：子图着色数沿图同构不变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subgraph_chromaticNumber_congr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Erdos1091/Main.lean:85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通用件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：弦上界沿图同构不变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cycle_chords_congr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Erdos1091/Main.lean:139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Vtx m ≃ Fin (20m+31)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vtxEquiv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Erdos1091/Main.lean:187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规模界 m ≤ 20m+31 ≤ 51m，即 C = 51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size_bounds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Erdos1091/Main.lean:197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 4.1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：四个结论同时成立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theorem_4_1</w:t>
            </w:r>
          </w:p>
        </w:tc>
        <w:tc>
          <w:tcPr>
            <w:tcW w:w="2780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Erdos1091/Main.lean:206</w:t>
            </w:r>
          </w:p>
        </w:tc>
        <w:tc>
          <w:tcPr>
            <w:tcW w:w="2677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853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目标陈述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：PR #5870 的反例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erdos_1091.variants.counterexample</w:t>
            </w:r>
          </w:p>
        </w:tc>
        <w:tc>
          <w:tcPr>
            <w:tcW w:w="2780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Erdos1091/Main.lean:224</w:t>
            </w:r>
          </w:p>
        </w:tc>
        <w:tc>
          <w:tcPr>
            <w:tcW w:w="2677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已证</w:t>
            </w:r>
          </w:p>
        </w:tc>
      </w:tr>
    </w:tbl>
    <w:p>
      <w:pPr>
        <w:pStyle w:val="5"/>
      </w:pPr>
      <w:bookmarkStart w:id="1020" w:name="_ApevonHeading13"/>
      <w:r>
        <w:rPr>
          <w:rFonts w:ascii="Times New Roman" w:hAnsi="Times New Roman" w:eastAsia="Songti SC"/>
        </w:rPr>
        <w:t>4.8 依赖关系</w:t>
      </w:r>
      <w:bookmarkEnd w:id="1020"/>
    </w:p>
    <w:p>
      <w:pPr>
        <w:pStyle w:val="3"/>
      </w:pPr>
      <w:r>
        <w:rPr>
          <w:rFonts w:ascii="Times New Roman" w:hAnsi="Times New Roman" w:eastAsia="Songti SC"/>
        </w:rPr>
        <w:t>下图给出上述结论之间的依赖走向：构造层给出顶点类型、邻接关系与度数事实，四条中间结论（Lemma 4.2、4.3、4.7 与 Prop 4.6）由构造直接推出，颜色传播与逐块弦计数各自续接一层，最后汇入 Theorem 4.1 并搬运到目标陈述。</w:t>
      </w:r>
    </w:p>
    <w:p>
      <w:pPr>
        <w:jc w:val="center"/>
        <w:keepNext/>
      </w:pPr>
      <w:r>
        <w:drawing>
          <ns3:inline>
            <ns3:extent cx="5394960" cy="2247437"/>
            <ns3:docPr id="9002" name="Picture 9002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0" name="fig_01_lemma_deps.png"/>
                    <ns5:cNvPicPr/>
                  </ns5:nvPicPr>
                  <ns5:blipFill>
                    <ns4:blip ns6:embed="rId16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5394960" cy="2247437"/>
                    </ns4:xfrm>
                    <ns4:prstGeom prst="rect"/>
                  </ns5:spPr>
                </ns5:pic>
              </ns4:graphicData>
            </ns4:graphic>
          </ns3:inline>
        </w:drawing>
      </w:r>
    </w:p>
    <w:p>
      <w:pPr>
        <w:pStyle w:val="14"/>
      </w:pPr>
      <w:bookmarkStart w:id="1021" w:name="_ApevonFigure1"/>
      <w:r>
        <w:rPr>
          <w:rFonts w:ascii="Times New Roman" w:hAnsi="Times New Roman" w:eastAsia="Songti SC"/>
        </w:rPr>
        <w:t>图 1 引理依赖关系图：从构造 G_m 到目标陈述的推导走向</w:t>
      </w:r>
      <w:bookmarkEnd w:id="1021"/>
    </w:p>
    <w:p>
      <w:pPr>
        <w:pStyle w:val="4"/>
      </w:pPr>
      <w:bookmarkStart w:id="1022" w:name="_ApevonHeading14"/>
      <w:r>
        <w:rPr>
          <w:rFonts w:ascii="Times New Roman" w:hAnsi="Times New Roman" w:eastAsia="Songti SC"/>
        </w:rPr>
        <w:t>5. 形式化中的工程决策</w:t>
      </w:r>
      <w:bookmarkEnd w:id="1022"/>
    </w:p>
    <w:p>
      <w:pPr>
        <w:pStyle w:val="3"/>
      </w:pPr>
      <w:r>
        <w:rPr>
          <w:rFonts w:ascii="Times New Roman" w:hAnsi="Times New Roman" w:eastAsia="Songti SC"/>
        </w:rPr>
        <w:t>本节记录的是纸面证明里不存在、但形式化必须回答的问题。这些也是上游 reviewer 最可能追问的地方。</w:t>
      </w:r>
    </w:p>
    <w:p>
      <w:pPr>
        <w:pStyle w:val="5"/>
      </w:pPr>
      <w:bookmarkStart w:id="1023" w:name="_ApevonHeading15"/>
      <w:r>
        <w:rPr>
          <w:rFonts w:ascii="Times New Roman" w:hAnsi="Times New Roman" w:eastAsia="Songti SC"/>
        </w:rPr>
        <w:t>5.1 顶点类型的选择</w:t>
      </w:r>
      <w:bookmarkEnd w:id="1023"/>
    </w:p>
    <w:p>
      <w:pPr>
        <w:pStyle w:val="3"/>
      </w:pPr>
      <w:r>
        <w:rPr>
          <w:rFonts w:ascii="Times New Roman" w:hAnsi="Times New Roman" w:eastAsia="Songti SC"/>
        </w:rPr>
        <w:t>顶点类型定义为</w:t>
      </w:r>
    </w:p>
    <w:p>
      <w:pPr>
        <w:pStyle w:val="3"/>
      </w:pPr>
      <w:r>
        <w:rPr>
          <w:rFonts w:ascii="Times New Roman" w:hAnsi="Times New Roman" w:eastAsia="Songti SC"/>
        </w:rPr>
        <w:t>Slot        := a | b | c | d | e                   -- 五边形上的位置，rim 序 a→b→c→d→e→a</w:t>
      </w:r>
    </w:p>
    <w:p>
      <w:pPr>
        <w:pStyle w:val="3"/>
      </w:pPr>
      <w:r>
        <w:rPr>
          <w:rFonts w:ascii="Times New Roman" w:hAnsi="Times New Roman" w:eastAsia="Songti SC"/>
        </w:rPr>
        <w:t>Block m     := spine (i : Fin (m+1)) | leaf (i : Fin (m+1)) (x : Slot)</w:t>
      </w:r>
    </w:p>
    <w:p>
      <w:pPr>
        <w:pStyle w:val="3"/>
      </w:pPr>
      <w:r>
        <w:rPr>
          <w:rFonts w:ascii="Times New Roman" w:hAnsi="Times New Roman" w:eastAsia="Songti SC"/>
        </w:rPr>
        <w:t>Block.validB : Block m → Bool                      -- a-叶只在 S</w:t>
      </w:r>
      <w:r>
        <w:rPr>
          <w:rFonts w:ascii="Times New Roman" w:hAnsi="Times New Roman" w:eastAsia="Songti SC"/>
          <w:i/>
        </w:rPr>
        <w:t>0，c-叶只在 S</w:t>
      </w:r>
      <w:r>
        <w:rPr>
          <w:rFonts w:ascii="Times New Roman" w:hAnsi="Times New Roman" w:eastAsia="Songti SC"/>
        </w:rPr>
        <w:t>m</w:t>
      </w:r>
    </w:p>
    <w:p>
      <w:pPr>
        <w:pStyle w:val="3"/>
      </w:pPr>
      <w:r>
        <w:rPr>
          <w:rFonts w:ascii="Times New Roman" w:hAnsi="Times New Roman" w:eastAsia="Songti SC"/>
        </w:rPr>
        <w:t>ValidBlock m := {b : Block m // b.validB = true}</w:t>
      </w:r>
    </w:p>
    <w:p>
      <w:pPr>
        <w:pStyle w:val="3"/>
      </w:pPr>
      <w:r>
        <w:rPr>
          <w:rFonts w:ascii="Times New Roman" w:hAnsi="Times New Roman" w:eastAsia="Songti SC"/>
        </w:rPr>
        <w:t>Vtx m       := Option (ValidBlock m × Slot)        -- none 即特殊点 v</w:t>
      </w:r>
    </w:p>
    <w:p>
      <w:pPr>
        <w:pStyle w:val="3"/>
      </w:pPr>
      <w:r>
        <w:rPr>
          <w:rFonts w:ascii="Times New Roman" w:hAnsi="Times New Roman" w:eastAsia="Songti SC"/>
        </w:rPr>
        <w:t>选它而不是“归纳类型加手写 Fintype”或“直接用 Fin (20m+31)”，有四条理由。</w:t>
      </w:r>
    </w:p>
    <w:p>
      <w:pPr>
        <w:pStyle w:val="3"/>
      </w:pPr>
      <w:r>
        <w:rPr>
          <w:rFonts w:ascii="Times New Roman" w:hAnsi="Times New Roman" w:eastAsia="Songti SC"/>
        </w:rPr>
        <w:t>第一，</w:t>
      </w:r>
      <w:r>
        <w:rPr>
          <w:rFonts w:ascii="Times New Roman" w:hAnsi="Times New Roman" w:eastAsia="Songti SC"/>
        </w:rPr>
        <w:t>DecidableEq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Fintype</w:t>
      </w:r>
      <w:r>
        <w:rPr>
          <w:rFonts w:ascii="Times New Roman" w:hAnsi="Times New Roman" w:eastAsia="Songti SC"/>
        </w:rPr>
        <w:t xml:space="preserve"> 实例全部可以自动推导，不需要手写。</w:t>
      </w:r>
      <w:r>
        <w:rPr>
          <w:rFonts w:ascii="Times New Roman" w:hAnsi="Times New Roman" w:eastAsia="Songti SC"/>
        </w:rPr>
        <w:t>Option</w:t>
      </w:r>
      <w:r>
        <w:rPr>
          <w:rFonts w:ascii="Times New Roman" w:hAnsi="Times New Roman" w:eastAsia="Songti SC"/>
        </w:rPr>
        <w:t xml:space="preserve">、乘积与 </w:t>
      </w:r>
      <w:r>
        <w:rPr>
          <w:rFonts w:ascii="Times New Roman" w:hAnsi="Times New Roman" w:eastAsia="Songti SC"/>
        </w:rPr>
        <w:t>Subtype</w:t>
      </w:r>
      <w:r>
        <w:rPr>
          <w:rFonts w:ascii="Times New Roman" w:hAnsi="Times New Roman" w:eastAsia="Songti SC"/>
        </w:rPr>
        <w:t xml:space="preserve"> 在 Mathlib 里实例齐全，</w:t>
      </w:r>
      <w:r>
        <w:rPr>
          <w:rFonts w:ascii="Times New Roman" w:hAnsi="Times New Roman" w:eastAsia="Songti SC"/>
        </w:rPr>
        <w:t>Subtype</w:t>
      </w:r>
      <w:r>
        <w:rPr>
          <w:rFonts w:ascii="Times New Roman" w:hAnsi="Times New Roman" w:eastAsia="Songti SC"/>
        </w:rPr>
        <w:t xml:space="preserve"> 的证明字段靠 proof irrelevance 自动相等。</w:t>
      </w:r>
    </w:p>
    <w:p>
      <w:pPr>
        <w:pStyle w:val="3"/>
      </w:pPr>
      <w:r>
        <w:rPr>
          <w:rFonts w:ascii="Times New Roman" w:hAnsi="Times New Roman" w:eastAsia="Songti SC"/>
        </w:rPr>
        <w:t>第二，块结构在类型里直接可见。Lemma 4.7 至 4.9 全部是“按块分类讨论”，顶点自带“块加槽位”的结构就能直接做 case 分析；如果一开始就搬到 Fin n 上，这些信息全部丢失，每条引理都要先把编号翻译回块结构。</w:t>
      </w:r>
    </w:p>
    <w:p>
      <w:pPr>
        <w:pStyle w:val="3"/>
      </w:pPr>
      <w:r>
        <w:rPr>
          <w:rFonts w:ascii="Times New Roman" w:hAnsi="Times New Roman" w:eastAsia="Songti SC"/>
        </w:rPr>
        <w:t xml:space="preserve">第三，不对称性写在 </w:t>
      </w:r>
      <w:r>
        <w:rPr>
          <w:rFonts w:ascii="Times New Roman" w:hAnsi="Times New Roman" w:eastAsia="Songti SC"/>
        </w:rPr>
        <w:t>validB</w:t>
      </w:r>
      <w:r>
        <w:rPr>
          <w:rFonts w:ascii="Times New Roman" w:hAnsi="Times New Roman" w:eastAsia="Songti SC"/>
        </w:rPr>
        <w:t xml:space="preserve"> 一处，而不是散落在各引理的前提里。</w:t>
      </w:r>
    </w:p>
    <w:p>
      <w:pPr>
        <w:pStyle w:val="3"/>
      </w:pPr>
      <w:r>
        <w:rPr>
          <w:rFonts w:ascii="Times New Roman" w:hAnsi="Times New Roman" w:eastAsia="Songti SC"/>
        </w:rPr>
        <w:t xml:space="preserve">第四，目标陈述要求 </w:t>
      </w:r>
      <w:r>
        <w:rPr>
          <w:rFonts w:ascii="Times New Roman" w:hAnsi="Times New Roman" w:eastAsia="Songti SC"/>
        </w:rPr>
        <w:t>SimpleGraph (Fin n)</w:t>
      </w:r>
      <w:r>
        <w:rPr>
          <w:rFonts w:ascii="Times New Roman" w:hAnsi="Times New Roman" w:eastAsia="Songti SC"/>
        </w:rPr>
        <w:t>，所以只在最后搬运一次：</w:t>
      </w:r>
      <w:r>
        <w:rPr>
          <w:rFonts w:ascii="Times New Roman" w:hAnsi="Times New Roman" w:eastAsia="Songti SC"/>
        </w:rPr>
        <w:t>Main.lean</w:t>
      </w:r>
      <w:r>
        <w:rPr>
          <w:rFonts w:ascii="Times New Roman" w:hAnsi="Times New Roman" w:eastAsia="Songti SC"/>
        </w:rPr>
        <w:t xml:space="preserve"> 的 </w:t>
      </w:r>
      <w:r>
        <w:rPr>
          <w:rFonts w:ascii="Times New Roman" w:hAnsi="Times New Roman" w:eastAsia="Songti SC"/>
        </w:rPr>
        <w:t>vtxEquiv : Vtx m ≃ Fin (20m+31)</w:t>
      </w:r>
      <w:r>
        <w:rPr>
          <w:rFonts w:ascii="Times New Roman" w:hAnsi="Times New Roman" w:eastAsia="Songti SC"/>
        </w:rPr>
        <w:t xml:space="preserve"> 由 </w:t>
      </w:r>
      <w:r>
        <w:rPr>
          <w:rFonts w:ascii="Times New Roman" w:hAnsi="Times New Roman" w:eastAsia="Songti SC"/>
        </w:rPr>
        <w:t>card_vtx</w:t>
      </w:r>
      <w:r>
        <w:rPr>
          <w:rFonts w:ascii="Times New Roman" w:hAnsi="Times New Roman" w:eastAsia="Songti SC"/>
        </w:rPr>
        <w:t xml:space="preserve"> 经 </w:t>
      </w:r>
      <w:r>
        <w:rPr>
          <w:rFonts w:ascii="Times New Roman" w:hAnsi="Times New Roman" w:eastAsia="Songti SC"/>
        </w:rPr>
        <w:t>Fintype.equivFinOfCardEq</w:t>
      </w:r>
      <w:r>
        <w:rPr>
          <w:rFonts w:ascii="Times New Roman" w:hAnsi="Times New Roman" w:eastAsia="Songti SC"/>
        </w:rPr>
        <w:t xml:space="preserve"> 得到，配四条 transport 引理把四个结论一次性搬过去。这是形式化中“工作类型”与“陈述类型”分离的标准做法：在方便证明的类型上做全部数学，只在接口处付一次搬运成本。</w:t>
      </w:r>
    </w:p>
    <w:p>
      <w:pPr>
        <w:pStyle w:val="3"/>
      </w:pPr>
      <w:r>
        <w:rPr>
          <w:rFonts w:ascii="Times New Roman" w:hAnsi="Times New Roman" w:eastAsia="Songti SC"/>
        </w:rPr>
        <w:t xml:space="preserve">邻接关系用布尔谓词加 </w:t>
      </w:r>
      <w:r>
        <w:rPr>
          <w:rFonts w:ascii="Times New Roman" w:hAnsi="Times New Roman" w:eastAsia="Songti SC"/>
        </w:rPr>
        <w:t>SimpleGraph.fromRel</w:t>
      </w:r>
      <w:r>
        <w:rPr>
          <w:rFonts w:ascii="Times New Roman" w:hAnsi="Times New Roman" w:eastAsia="Songti SC"/>
        </w:rPr>
        <w:t xml:space="preserve"> 构造。</w:t>
      </w:r>
      <w:r>
        <w:rPr>
          <w:rFonts w:ascii="Times New Roman" w:hAnsi="Times New Roman" w:eastAsia="Songti SC"/>
        </w:rPr>
        <w:t>fromRel</w:t>
      </w:r>
      <w:r>
        <w:rPr>
          <w:rFonts w:ascii="Times New Roman" w:hAnsi="Times New Roman" w:eastAsia="Songti SC"/>
        </w:rPr>
        <w:t xml:space="preserve"> 免费给出对称性与无自环，布尔层使 </w:t>
      </w:r>
      <w:r>
        <w:rPr>
          <w:rFonts w:ascii="Times New Roman" w:hAnsi="Times New Roman" w:eastAsia="Songti SC"/>
        </w:rPr>
        <w:t>DecidableRel</w:t>
      </w:r>
      <w:r>
        <w:rPr>
          <w:rFonts w:ascii="Times New Roman" w:hAnsi="Times New Roman" w:eastAsia="Songti SC"/>
        </w:rPr>
        <w:t xml:space="preserve"> 实例归结为 </w:t>
      </w:r>
      <w:r>
        <w:rPr>
          <w:rFonts w:ascii="Times New Roman" w:hAnsi="Times New Roman" w:eastAsia="Songti SC"/>
        </w:rPr>
        <w:t>Decidable</w:t>
      </w:r>
      <w:r>
        <w:rPr>
          <w:rFonts w:ascii="Times New Roman" w:hAnsi="Times New Roman" w:eastAsia="Songti SC"/>
        </w:rPr>
        <w:t xml:space="preserve"> 的合取，不必手写。</w:t>
      </w:r>
    </w:p>
    <w:p>
      <w:pPr>
        <w:pStyle w:val="5"/>
      </w:pPr>
      <w:bookmarkStart w:id="1024" w:name="_ApevonHeading16"/>
      <w:r>
        <w:rPr>
          <w:rFonts w:ascii="Times New Roman" w:hAnsi="Times New Roman" w:eastAsia="Songti SC"/>
        </w:rPr>
        <w:t>5.2 显式搬到 Fin n 的必要性</w:t>
      </w:r>
      <w:bookmarkEnd w:id="1024"/>
    </w:p>
    <w:p>
      <w:pPr>
        <w:pStyle w:val="3"/>
      </w:pPr>
      <w:r>
        <w:rPr>
          <w:rFonts w:ascii="Times New Roman" w:hAnsi="Times New Roman" w:eastAsia="Songti SC"/>
        </w:rPr>
        <w:t xml:space="preserve">目标陈述的形状是“存在 n 与 </w:t>
      </w:r>
      <w:r>
        <w:rPr>
          <w:rFonts w:ascii="Times New Roman" w:hAnsi="Times New Roman" w:eastAsia="Songti SC"/>
        </w:rPr>
        <w:t>SimpleGraph (Fin n)</w:t>
      </w:r>
      <w:r>
        <w:rPr>
          <w:rFonts w:ascii="Times New Roman" w:hAnsi="Times New Roman" w:eastAsia="Songti SC"/>
        </w:rPr>
        <w:t>”。这不是可以绕过的表面差异：</w:t>
      </w:r>
      <w:r>
        <w:rPr>
          <w:rFonts w:ascii="Times New Roman" w:hAnsi="Times New Roman" w:eastAsia="Songti SC"/>
        </w:rPr>
        <w:t>Vtx m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Fin (20m+31)</w:t>
      </w:r>
      <w:r>
        <w:rPr>
          <w:rFonts w:ascii="Times New Roman" w:hAnsi="Times New Roman" w:eastAsia="Songti SC"/>
        </w:rPr>
        <w:t xml:space="preserve"> 是不同的类型，四个结论都要沿等价搬运，而搬运本身需要证明。其中两条在 Mathlib 里没有现成引理，见 5.4 节。</w:t>
      </w:r>
    </w:p>
    <w:p>
      <w:pPr>
        <w:pStyle w:val="3"/>
      </w:pPr>
      <w:r>
        <w:rPr>
          <w:rFonts w:ascii="Times New Roman" w:hAnsi="Times New Roman" w:eastAsia="Songti SC"/>
        </w:rPr>
        <w:t xml:space="preserve">搬运引理的写法上做了一个决断：先证“沿图同构 ≃g 不变”的通用形式，再特化到 </w:t>
      </w:r>
      <w:r>
        <w:rPr>
          <w:rFonts w:ascii="Times New Roman" w:hAnsi="Times New Roman" w:eastAsia="Songti SC"/>
        </w:rPr>
        <w:t>map e.toEmbedding</w:t>
      </w:r>
      <w:r>
        <w:rPr>
          <w:rFonts w:ascii="Times New Roman" w:hAnsi="Times New Roman" w:eastAsia="Songti SC"/>
        </w:rPr>
        <w:t xml:space="preserve">。直接对 </w:t>
      </w:r>
      <w:r>
        <w:rPr>
          <w:rFonts w:ascii="Times New Roman" w:hAnsi="Times New Roman" w:eastAsia="Songti SC"/>
        </w:rPr>
        <w:t>H.map e.toEmbedding</w:t>
      </w:r>
      <w:r>
        <w:rPr>
          <w:rFonts w:ascii="Times New Roman" w:hAnsi="Times New Roman" w:eastAsia="Songti SC"/>
        </w:rPr>
        <w:t xml:space="preserve"> 写会短一点，但通用形式才是可复用的，</w:t>
      </w:r>
      <w:r>
        <w:rPr>
          <w:rFonts w:ascii="Times New Roman" w:hAnsi="Times New Roman" w:eastAsia="Songti SC"/>
        </w:rPr>
        <w:t>Iso.map e H : H ≃g H.map e.toEmbedding</w:t>
      </w:r>
      <w:r>
        <w:rPr>
          <w:rFonts w:ascii="Times New Roman" w:hAnsi="Times New Roman" w:eastAsia="Songti SC"/>
        </w:rPr>
        <w:t xml:space="preserve"> 负责搭桥。代价是多两条声明，收益是这两条通用件与 Erdős 1091 完全无关，可以独立上游。</w:t>
      </w:r>
    </w:p>
    <w:p>
      <w:pPr>
        <w:pStyle w:val="5"/>
      </w:pPr>
      <w:bookmarkStart w:id="1025" w:name="_ApevonHeading17"/>
      <w:r>
        <w:rPr>
          <w:rFonts w:ascii="Times New Roman" w:hAnsi="Times New Roman" w:eastAsia="Songti SC"/>
        </w:rPr>
        <w:t>5.3 判定策略的禁用范围与理由</w:t>
      </w:r>
      <w:bookmarkEnd w:id="1025"/>
    </w:p>
    <w:p>
      <w:pPr>
        <w:pStyle w:val="3"/>
      </w:pPr>
      <w:r>
        <w:rPr>
          <w:rFonts w:ascii="Times New Roman" w:hAnsi="Times New Roman" w:eastAsia="Songti SC"/>
        </w:rPr>
        <w:t>邻接关系可判定，是用户明确要求的，也确实成立。</w:t>
      </w:r>
      <w:r>
        <w:rPr>
          <w:rFonts w:ascii="Times New Roman" w:hAnsi="Times New Roman" w:eastAsia="Songti SC"/>
          <w:b/>
        </w:rPr>
        <w:t>但可判定不等于用判定策略去证。</w:t>
      </w:r>
      <w:r>
        <w:rPr>
          <w:rFonts w:ascii="Times New Roman" w:hAnsi="Times New Roman" w:eastAsia="Songti SC"/>
        </w:rPr>
        <w:t xml:space="preserve"> 该图的顶点数是 20m+31，其中 m 是自由参数：对它整体调用 </w:t>
      </w:r>
      <w:r>
        <w:rPr>
          <w:rFonts w:ascii="Times New Roman" w:hAnsi="Times New Roman" w:eastAsia="Songti SC"/>
        </w:rPr>
        <w:t>decide</w:t>
      </w:r>
      <w:r>
        <w:rPr>
          <w:rFonts w:ascii="Times New Roman" w:hAnsi="Times New Roman" w:eastAsia="Songti SC"/>
        </w:rPr>
        <w:t xml:space="preserve"> 或 </w:t>
      </w:r>
      <w:r>
        <w:rPr>
          <w:rFonts w:ascii="Times New Roman" w:hAnsi="Times New Roman" w:eastAsia="Songti SC"/>
        </w:rPr>
        <w:t>native_decide</w:t>
      </w:r>
      <w:r>
        <w:rPr>
          <w:rFonts w:ascii="Times New Roman" w:hAnsi="Times New Roman" w:eastAsia="Songti SC"/>
        </w:rPr>
        <w:t xml:space="preserve">，既会因判定式展开而耗尽内存，对参数化命题也根本不成立，因为 </w:t>
      </w:r>
      <w:r>
        <w:rPr>
          <w:rFonts w:ascii="Times New Roman" w:hAnsi="Times New Roman" w:eastAsia="Songti SC"/>
        </w:rPr>
        <w:t>decide</w:t>
      </w:r>
      <w:r>
        <w:rPr>
          <w:rFonts w:ascii="Times New Roman" w:hAnsi="Times New Roman" w:eastAsia="Songti SC"/>
        </w:rPr>
        <w:t xml:space="preserve"> 要求目标闭合。可判定性的作用是让 </w:t>
      </w:r>
      <w:r>
        <w:rPr>
          <w:rFonts w:ascii="Times New Roman" w:hAnsi="Times New Roman" w:eastAsia="Songti SC"/>
        </w:rPr>
        <w:t>Fintype</w:t>
      </w:r>
      <w:r>
        <w:rPr>
          <w:rFonts w:ascii="Times New Roman" w:hAnsi="Times New Roman" w:eastAsia="Songti SC"/>
        </w:rPr>
        <w:t xml:space="preserve"> 与实例推导顺畅，主定理仍走结构化证明。</w:t>
      </w:r>
    </w:p>
    <w:p>
      <w:pPr>
        <w:pStyle w:val="3"/>
      </w:pPr>
      <w:r>
        <w:rPr>
          <w:rFonts w:ascii="Times New Roman" w:hAnsi="Times New Roman" w:eastAsia="Songti SC"/>
        </w:rPr>
        <w:t>枚举只用在固定的小规模有限情形上，每一处的规模都在源码注释里标明：</w:t>
      </w:r>
    </w:p>
    <w:p>
      <w:pPr>
        <w:pStyle w:val="15"/>
        <w:keepNext/>
      </w:pPr>
      <w:bookmarkStart w:id="1026" w:name="_ApevonTable8"/>
      <w:r>
        <w:rPr>
          <w:rFonts w:ascii="Times New Roman" w:hAnsi="Times New Roman" w:eastAsia="Songti SC"/>
        </w:rPr>
        <w:t>表 8 枚举证明的使用位置与规模</w:t>
      </w:r>
      <w:bookmarkEnd w:id="1026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2059"/>
        <w:gridCol w:w="8031"/>
      </w:tblGrid>
      <w:tr>
        <w:trPr>
          <w:cantSplit/>
          <w:trHeight w:val="360" w:hRule="atLeast"/>
          <w:tblHeader/>
          <w:jc w:val="center"/>
        </w:trPr>
        <w:tc>
          <w:tcPr>
            <w:tcW w:w="2059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位置</w:t>
            </w:r>
          </w:p>
        </w:tc>
        <w:tc>
          <w:tcPr>
            <w:tcW w:w="803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枚举规模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Slot.rimAdjB_irrefl</w:t>
            </w:r>
          </w:p>
        </w:tc>
        <w:tc>
          <w:tcPr>
            <w:tcW w:w="803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Slot.rimAdjB_comm</w:t>
            </w:r>
          </w:p>
        </w:tc>
        <w:tc>
          <w:tcPr>
            <w:tcW w:w="803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 × 5 = 25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no_rim_triangle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（Lemma 4.2）</w:t>
            </w:r>
          </w:p>
        </w:tc>
        <w:tc>
          <w:tcPr>
            <w:tcW w:w="803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5^3 = 125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path_four_alternates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（Lemma 4.3）</w:t>
            </w:r>
          </w:p>
        </w:tc>
        <w:tc>
          <w:tcPr>
            <w:tcW w:w="803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Fin 3 上 3^5 = 243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eq_of_ne_two_ne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（Lemma 4.3）</w:t>
            </w:r>
          </w:p>
        </w:tc>
        <w:tc>
          <w:tcPr>
            <w:tcW w:w="803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Fin 3 上 3^4 = 81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pentagon_forces_c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pentagon_forces_a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（Lemma 4.4）</w:t>
            </w:r>
          </w:p>
        </w:tc>
        <w:tc>
          <w:tcPr>
            <w:tcW w:w="803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Fin 3 上 3^6 = 729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slot_count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（弦计数核心）</w:t>
            </w:r>
          </w:p>
        </w:tc>
        <w:tc>
          <w:tcPr>
            <w:tcW w:w="803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2^5 × 2^5 = 1024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2059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leafColor_rim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（4-着色）</w:t>
            </w:r>
          </w:p>
        </w:tc>
        <w:tc>
          <w:tcPr>
            <w:tcW w:w="803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5^3 = 125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</w:rPr>
        <w:t xml:space="preserve">全树不含 </w:t>
      </w:r>
      <w:r>
        <w:rPr>
          <w:rFonts w:ascii="Times New Roman" w:hAnsi="Times New Roman" w:eastAsia="Songti SC"/>
        </w:rPr>
        <w:t>native_decide</w:t>
      </w:r>
      <w:r>
        <w:rPr>
          <w:rFonts w:ascii="Times New Roman" w:hAnsi="Times New Roman" w:eastAsia="Songti SC"/>
        </w:rPr>
        <w:t>，这一点由机械 grep 验证。</w:t>
      </w:r>
      <w:r>
        <w:rPr>
          <w:rFonts w:ascii="Times New Roman" w:hAnsi="Times New Roman" w:eastAsia="Songti SC"/>
        </w:rPr>
        <w:t>native_decide</w:t>
      </w:r>
      <w:r>
        <w:rPr>
          <w:rFonts w:ascii="Times New Roman" w:hAnsi="Times New Roman" w:eastAsia="Songti SC"/>
        </w:rPr>
        <w:t xml:space="preserve"> 会把编译器信任基扩大到 Lean 内核以外，对一份以“可验证”为卖点的交付物是不可接受的。</w:t>
      </w:r>
    </w:p>
    <w:p>
      <w:pPr>
        <w:pStyle w:val="5"/>
      </w:pPr>
      <w:bookmarkStart w:id="1027" w:name="_ApevonHeading18"/>
      <w:r>
        <w:rPr>
          <w:rFonts w:ascii="Times New Roman" w:hAnsi="Times New Roman" w:eastAsia="Songti SC"/>
        </w:rPr>
        <w:t>5.4 新造的通用件</w:t>
      </w:r>
      <w:bookmarkEnd w:id="1027"/>
    </w:p>
    <w:p>
      <w:pPr>
        <w:pStyle w:val="3"/>
      </w:pPr>
      <w:r>
        <w:rPr>
          <w:rFonts w:ascii="Times New Roman" w:hAnsi="Times New Roman" w:eastAsia="Songti SC"/>
        </w:rPr>
        <w:t>三条结论在 Mathlib 里没有现成版本，本形式化从零证出，且都与 Erdős 1091 无关，可以独立上游：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colorable_three_of_isTwoDegenerate</w:t>
      </w:r>
      <w:r>
        <w:rPr>
          <w:rFonts w:ascii="Times New Roman" w:hAnsi="Times New Roman" w:eastAsia="Songti SC"/>
        </w:rPr>
        <w:t>（</w:t>
      </w:r>
      <w:r>
        <w:rPr>
          <w:rFonts w:ascii="Times New Roman" w:hAnsi="Times New Roman" w:eastAsia="Songti SC"/>
        </w:rPr>
        <w:t>DegenerateCore.lean:132</w:t>
      </w:r>
      <w:r>
        <w:rPr>
          <w:rFonts w:ascii="Times New Roman" w:hAnsi="Times New Roman" w:eastAsia="Songti SC"/>
        </w:rPr>
        <w:t>）：2-degenerate 图是 3-可着色的。证明走对顶点数的强归纳加贪心着色。Mathlib 有 k-degenerate 的零散片段，但没有这条。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subgraph_chromaticNumber_congr</w:t>
      </w:r>
      <w:r>
        <w:rPr>
          <w:rFonts w:ascii="Times New Roman" w:hAnsi="Times New Roman" w:eastAsia="Songti SC"/>
        </w:rPr>
        <w:t>（</w:t>
      </w:r>
      <w:r>
        <w:rPr>
          <w:rFonts w:ascii="Times New Roman" w:hAnsi="Times New Roman" w:eastAsia="Songti SC"/>
        </w:rPr>
        <w:t>Main.lean:85</w:t>
      </w:r>
      <w:r>
        <w:rPr>
          <w:rFonts w:ascii="Times New Roman" w:hAnsi="Times New Roman" w:eastAsia="Songti SC"/>
        </w:rPr>
        <w:t xml:space="preserve">）：子图着色数沿图同构不变。证明需要注意 </w:t>
      </w:r>
      <w:r>
        <w:rPr>
          <w:rFonts w:ascii="Times New Roman" w:hAnsi="Times New Roman" w:eastAsia="Songti SC"/>
        </w:rPr>
        <w:t>Subgraph.comap</w:t>
      </w:r>
      <w:r>
        <w:rPr>
          <w:rFonts w:ascii="Times New Roman" w:hAnsi="Times New Roman" w:eastAsia="Songti SC"/>
        </w:rPr>
        <w:t xml:space="preserve"> 的邻接定义为 </w:t>
      </w:r>
      <w:r>
        <w:rPr>
          <w:rFonts w:ascii="Times New Roman" w:hAnsi="Times New Roman" w:eastAsia="Songti SC"/>
        </w:rPr>
        <w:t>G.Adj u v ∧ H.Adj (f u) (f v)</w:t>
      </w:r>
      <w:r>
        <w:rPr>
          <w:rFonts w:ascii="Times New Roman" w:hAnsi="Times New Roman" w:eastAsia="Songti SC"/>
        </w:rPr>
        <w:t xml:space="preserve">，含一个额外的合取项，构造 </w:t>
      </w:r>
      <w:r>
        <w:rPr>
          <w:rFonts w:ascii="Times New Roman" w:hAnsi="Times New Roman" w:eastAsia="Songti SC"/>
        </w:rPr>
        <w:t>map_rel_iff'</w:t>
      </w:r>
      <w:r>
        <w:rPr>
          <w:rFonts w:ascii="Times New Roman" w:hAnsi="Times New Roman" w:eastAsia="Songti SC"/>
        </w:rPr>
        <w:t xml:space="preserve"> 时须由同构的 </w:t>
      </w:r>
      <w:r>
        <w:rPr>
          <w:rFonts w:ascii="Times New Roman" w:hAnsi="Times New Roman" w:eastAsia="Songti SC"/>
        </w:rPr>
        <w:t>map_rel_iff</w:t>
      </w:r>
      <w:r>
        <w:rPr>
          <w:rFonts w:ascii="Times New Roman" w:hAnsi="Times New Roman" w:eastAsia="Songti SC"/>
        </w:rPr>
        <w:t xml:space="preserve"> 供出第一个分量。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cycle_chords_congr</w:t>
      </w:r>
      <w:r>
        <w:rPr>
          <w:rFonts w:ascii="Times New Roman" w:hAnsi="Times New Roman" w:eastAsia="Songti SC"/>
        </w:rPr>
        <w:t>（</w:t>
      </w:r>
      <w:r>
        <w:rPr>
          <w:rFonts w:ascii="Times New Roman" w:hAnsi="Times New Roman" w:eastAsia="Songti SC"/>
        </w:rPr>
        <w:t>Main.lean:139</w:t>
      </w:r>
      <w:r>
        <w:rPr>
          <w:rFonts w:ascii="Times New Roman" w:hAnsi="Times New Roman" w:eastAsia="Songti SC"/>
        </w:rPr>
        <w:t>）：弦数上界沿图同构不变。</w:t>
      </w:r>
    </w:p>
    <w:p>
      <w:pPr>
        <w:pStyle w:val="3"/>
      </w:pPr>
      <w:r>
        <w:rPr>
          <w:rFonts w:ascii="Times New Roman" w:hAnsi="Times New Roman" w:eastAsia="Songti SC"/>
        </w:rPr>
        <w:t xml:space="preserve">另外 </w:t>
      </w:r>
      <w:r>
        <w:rPr>
          <w:rFonts w:ascii="Times New Roman" w:hAnsi="Times New Roman" w:eastAsia="Songti SC"/>
        </w:rPr>
        <w:t>IsSide</w:t>
      </w:r>
      <w:r>
        <w:rPr>
          <w:rFonts w:ascii="Times New Roman" w:hAnsi="Times New Roman" w:eastAsia="Songti SC"/>
        </w:rPr>
        <w:t xml:space="preserve"> 这个割边装置（</w:t>
      </w:r>
      <w:r>
        <w:rPr>
          <w:rFonts w:ascii="Times New Roman" w:hAnsi="Times New Roman" w:eastAsia="Songti SC"/>
        </w:rPr>
        <w:t>Chords.lean:98</w:t>
      </w:r>
      <w:r>
        <w:rPr>
          <w:rFonts w:ascii="Times New Roman" w:hAnsi="Times New Roman" w:eastAsia="Songti SC"/>
        </w:rPr>
        <w:t xml:space="preserve">）虽然是为本证明设计的，但陈述本身对任意图成立：若除边 s(x,y) 外每条边的两端同属或同不属顶点集 S，则 s(x,y) 是割边。引入它是本形式化最省力的一处决断——验证 </w:t>
      </w:r>
      <w:r>
        <w:rPr>
          <w:rFonts w:ascii="Times New Roman" w:hAnsi="Times New Roman" w:eastAsia="Songti SC"/>
        </w:rPr>
        <w:t>IsSide</w:t>
      </w:r>
      <w:r>
        <w:rPr>
          <w:rFonts w:ascii="Times New Roman" w:hAnsi="Times New Roman" w:eastAsia="Songti SC"/>
        </w:rPr>
        <w:t xml:space="preserve"> 只需要对邻接关系做有限分类讨论，完全不涉及 walk 推理，而整个毛毛虫的块树结构只通过两个 </w:t>
      </w:r>
      <w:r>
        <w:rPr>
          <w:rFonts w:ascii="Times New Roman" w:hAnsi="Times New Roman" w:eastAsia="Songti SC"/>
        </w:rPr>
        <w:t>IsSide</w:t>
      </w:r>
      <w:r>
        <w:rPr>
          <w:rFonts w:ascii="Times New Roman" w:hAnsi="Times New Roman" w:eastAsia="Songti SC"/>
        </w:rPr>
        <w:t xml:space="preserve"> 实例进入证明。</w:t>
      </w:r>
    </w:p>
    <w:p>
      <w:pPr>
        <w:pStyle w:val="5"/>
      </w:pPr>
      <w:bookmarkStart w:id="1028" w:name="_ApevonHeading19"/>
      <w:r>
        <w:rPr>
          <w:rFonts w:ascii="Times New Roman" w:hAnsi="Times New Roman" w:eastAsia="Songti SC"/>
        </w:rPr>
        <w:t>5.5 与论文路线的三处偏离</w:t>
      </w:r>
      <w:bookmarkEnd w:id="1028"/>
    </w:p>
    <w:p>
      <w:pPr>
        <w:pStyle w:val="3"/>
      </w:pPr>
      <w:r>
        <w:rPr>
          <w:rFonts w:ascii="Times New Roman" w:hAnsi="Times New Roman" w:eastAsia="Songti SC"/>
        </w:rPr>
        <w:t>这三处都是证明工程上的选择，不放松任何结论，也不给任何定理增加前提。</w:t>
      </w:r>
    </w:p>
    <w:p>
      <w:pPr>
        <w:pStyle w:val="3"/>
      </w:pPr>
      <w:r>
        <w:rPr>
          <w:rFonts w:ascii="Times New Roman" w:hAnsi="Times New Roman" w:eastAsia="Songti SC"/>
          <w:b/>
        </w:rPr>
        <w:t>其一，不含 v 的圈证的是 ch(C) ≤ 5 而非论文的 ch(C) = 0。</w:t>
      </w:r>
      <w:r>
        <w:rPr>
          <w:rFonts w:ascii="Times New Roman" w:hAnsi="Times New Roman" w:eastAsia="Songti SC"/>
        </w:rPr>
        <w:t xml:space="preserve"> 论文说这种圈没有弦，理由是它必须恰好是整个五边形。在 Lean 里证“C</w:t>
      </w:r>
      <w:r>
        <w:rPr>
          <w:rFonts w:ascii="Times New Roman" w:hAnsi="Times New Roman" w:eastAsia="Songti SC"/>
          <w:i/>
        </w:rPr>
        <w:t>5 里的圈只能是 C</w:t>
      </w:r>
      <w:r>
        <w:rPr>
          <w:rFonts w:ascii="Times New Roman" w:hAnsi="Times New Roman" w:eastAsia="Songti SC"/>
        </w:rPr>
        <w:t>5 本身”需要额外一段论证，而 Prop 4.10 只需要 ≤ 10。由 Lemma 4.7 知圈含于单块，弦必是该五边形的 rim 边，而 rim 边只有 5 条，于是 5 ≤ 10 已经够用。代价是交付的不是论文的最强形式，这一点已写进源码注释。</w:t>
      </w:r>
    </w:p>
    <w:p>
      <w:pPr>
        <w:pStyle w:val="3"/>
      </w:pPr>
      <w:r>
        <w:rPr>
          <w:rFonts w:ascii="Times New Roman" w:hAnsi="Times New Roman" w:eastAsia="Songti SC"/>
          <w:b/>
        </w:rPr>
        <w:t>其二，含 v 的圈按弦的类型分两族求和，而非论文的逐块 4+4+1+1。</w:t>
      </w:r>
      <w:r>
        <w:rPr>
          <w:rFonts w:ascii="Times New Roman" w:hAnsi="Times New Roman" w:eastAsia="Songti SC"/>
        </w:rPr>
        <w:t xml:space="preserve"> 本形式化数的是“落在 v 上的弦 ≤ 6”加“rim 弦 ≤ 4”。两种分法数的是同一批边，但按类型分不需要认定“哪个五边形贡献了哪一条”，省掉了论文里“内部脊块贡献 0”那一整段块树位置讨论。两者都恰好等于 10。</w:t>
      </w:r>
    </w:p>
    <w:p>
      <w:pPr>
        <w:pStyle w:val="3"/>
      </w:pPr>
      <w:r>
        <w:rPr>
          <w:rFonts w:ascii="Times New Roman" w:hAnsi="Times New Roman" w:eastAsia="Songti SC"/>
          <w:b/>
        </w:rPr>
        <w:t>其三，rim 弦的计数用单射代替求和。</w:t>
      </w:r>
      <w:r>
        <w:rPr>
          <w:rFonts w:ascii="Times New Roman" w:hAnsi="Times New Roman" w:eastAsia="Songti SC"/>
        </w:rPr>
        <w:t xml:space="preserve"> 每条 rim 弦映到它所在的块，由 </w:t>
      </w:r>
      <w:r>
        <w:rPr>
          <w:rFonts w:ascii="Times New Roman" w:hAnsi="Times New Roman" w:eastAsia="Songti SC"/>
        </w:rPr>
        <w:t>chordSlots_card_le_one</w:t>
      </w:r>
      <w:r>
        <w:rPr>
          <w:rFonts w:ascii="Times New Roman" w:hAnsi="Times New Roman" w:eastAsia="Songti SC"/>
        </w:rPr>
        <w:t xml:space="preserve"> 知每块至多一条，由 </w:t>
      </w:r>
      <w:r>
        <w:rPr>
          <w:rFonts w:ascii="Times New Roman" w:hAnsi="Times New Roman" w:eastAsia="Songti SC"/>
        </w:rPr>
        <w:t>mem_specialBlocks</w:t>
      </w:r>
      <w:r>
        <w:rPr>
          <w:rFonts w:ascii="Times New Roman" w:hAnsi="Times New Roman" w:eastAsia="Songti SC"/>
        </w:rPr>
        <w:t xml:space="preserve"> 知带弦的块至多四个，于是 rim 弦不超过 4。全局求和被替换成 </w:t>
      </w:r>
      <w:r>
        <w:rPr>
          <w:rFonts w:ascii="Times New Roman" w:hAnsi="Times New Roman" w:eastAsia="Songti SC"/>
        </w:rPr>
        <w:t>Finset.card_biUnion_le</w:t>
      </w:r>
      <w:r>
        <w:rPr>
          <w:rFonts w:ascii="Times New Roman" w:hAnsi="Times New Roman" w:eastAsia="Songti SC"/>
        </w:rPr>
        <w:t>。</w:t>
      </w:r>
    </w:p>
    <w:p>
      <w:pPr>
        <w:pStyle w:val="3"/>
      </w:pPr>
      <w:r>
        <w:rPr>
          <w:rFonts w:ascii="Times New Roman" w:hAnsi="Times New Roman" w:eastAsia="Songti SC"/>
        </w:rPr>
        <w:t>cycle_chords_le_ten</w:t>
      </w:r>
      <w:r>
        <w:rPr>
          <w:rFonts w:ascii="Times New Roman" w:hAnsi="Times New Roman" w:eastAsia="Songti SC"/>
        </w:rPr>
        <w:t xml:space="preserve"> 的签名在这三处偏离中逐字保留未动。</w:t>
      </w:r>
    </w:p>
    <w:p>
      <w:pPr>
        <w:pStyle w:val="5"/>
      </w:pPr>
      <w:bookmarkStart w:id="1029" w:name="_ApevonHeading20"/>
      <w:r>
        <w:rPr>
          <w:rFonts w:ascii="Times New Roman" w:hAnsi="Times New Roman" w:eastAsia="Songti SC"/>
        </w:rPr>
        <w:t>5.6 交付目录的自包含性</w:t>
      </w:r>
      <w:bookmarkEnd w:id="1029"/>
    </w:p>
    <w:p>
      <w:pPr>
        <w:pStyle w:val="3"/>
      </w:pPr>
      <w:r>
        <w:rPr>
          <w:rFonts w:ascii="Times New Roman" w:hAnsi="Times New Roman" w:eastAsia="Songti SC"/>
        </w:rPr>
        <w:t xml:space="preserve">交付的 </w:t>
      </w:r>
      <w:r>
        <w:rPr>
          <w:rFonts w:ascii="Times New Roman" w:hAnsi="Times New Roman" w:eastAsia="Songti SC"/>
        </w:rPr>
        <w:t>output/erdos-1091-lean/lean/</w:t>
      </w:r>
      <w:r>
        <w:rPr>
          <w:rFonts w:ascii="Times New Roman" w:hAnsi="Times New Roman" w:eastAsia="Songti SC"/>
        </w:rPr>
        <w:t xml:space="preserve"> 本身就是一个完整的 Lake 包，只依赖 Mathlib，不需要另行 clone formal-conjectures。这要求把目标陈述所依赖的 API 一并 vendor 进来。第一版只 vendor 了 </w:t>
      </w:r>
      <w:r>
        <w:rPr>
          <w:rFonts w:ascii="Times New Roman" w:hAnsi="Times New Roman" w:eastAsia="Songti SC"/>
        </w:rPr>
        <w:t>Cycle.lean</w:t>
      </w:r>
      <w:r>
        <w:rPr>
          <w:rFonts w:ascii="Times New Roman" w:hAnsi="Times New Roman" w:eastAsia="Songti SC"/>
        </w:rPr>
        <w:t>，看起来没问题，实际编译不过——</w:t>
      </w:r>
      <w:r>
        <w:rPr>
          <w:rFonts w:ascii="Times New Roman" w:hAnsi="Times New Roman" w:eastAsia="Songti SC"/>
        </w:rPr>
        <w:t>Cycle.lean</w:t>
      </w:r>
      <w:r>
        <w:rPr>
          <w:rFonts w:ascii="Times New Roman" w:hAnsi="Times New Roman" w:eastAsia="Songti SC"/>
        </w:rPr>
        <w:t xml:space="preserve"> 自己 </w:t>
      </w:r>
      <w:r>
        <w:rPr>
          <w:rFonts w:ascii="Times New Roman" w:hAnsi="Times New Roman" w:eastAsia="Songti SC"/>
        </w:rPr>
        <w:t>public import</w:t>
      </w:r>
      <w:r>
        <w:rPr>
          <w:rFonts w:ascii="Times New Roman" w:hAnsi="Times New Roman" w:eastAsia="Songti SC"/>
        </w:rPr>
        <w:t xml:space="preserve"> 了 </w:t>
      </w:r>
      <w:r>
        <w:rPr>
          <w:rFonts w:ascii="Times New Roman" w:hAnsi="Times New Roman" w:eastAsia="Songti SC"/>
        </w:rPr>
        <w:t>Circumference.lean</w:t>
      </w:r>
      <w:r>
        <w:rPr>
          <w:rFonts w:ascii="Times New Roman" w:hAnsi="Times New Roman" w:eastAsia="Songti SC"/>
        </w:rPr>
        <w:t>。这个缺口是把整个目录拷到别处只软链 Mathlib 后实跑才发现的，不是推断出来的。两个 vendored 文件都原样保留 PR #5870 的版权头。</w:t>
      </w:r>
    </w:p>
    <w:p>
      <w:pPr>
        <w:pStyle w:val="3"/>
      </w:pPr>
      <w:r>
        <w:rPr>
          <w:rFonts w:ascii="Times New Roman" w:hAnsi="Times New Roman" w:eastAsia="Songti SC"/>
        </w:rPr>
        <w:t xml:space="preserve">开发期曾在 lakefile 里设 </w:t>
      </w:r>
      <w:r>
        <w:rPr>
          <w:rFonts w:ascii="Times New Roman" w:hAnsi="Times New Roman" w:eastAsia="Songti SC"/>
        </w:rPr>
        <w:t>warn.sorry = false</w:t>
      </w:r>
      <w:r>
        <w:rPr>
          <w:rFonts w:ascii="Times New Roman" w:hAnsi="Times New Roman" w:eastAsia="Songti SC"/>
        </w:rPr>
        <w:t xml:space="preserve">，让带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 xml:space="preserve"> 的中间态不至于编译失败。交付的 lakefile 没有这一行，因为现在零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>，留着只会掩盖回归。</w:t>
      </w:r>
    </w:p>
    <w:p>
      <w:pPr>
        <w:pStyle w:val="4"/>
      </w:pPr>
      <w:bookmarkStart w:id="1030" w:name="_ApevonHeading21"/>
      <w:r>
        <w:rPr>
          <w:rFonts w:ascii="Times New Roman" w:hAnsi="Times New Roman" w:eastAsia="Songti SC"/>
        </w:rPr>
        <w:t>6. 可验证性</w:t>
      </w:r>
      <w:bookmarkEnd w:id="1030"/>
    </w:p>
    <w:p>
      <w:pPr>
        <w:pStyle w:val="5"/>
      </w:pPr>
      <w:bookmarkStart w:id="1031" w:name="_ApevonHeading22"/>
      <w:r>
        <w:rPr>
          <w:rFonts w:ascii="Times New Roman" w:hAnsi="Times New Roman" w:eastAsia="Songti SC"/>
        </w:rPr>
        <w:t>6.1 在干净机器上完整复核</w:t>
      </w:r>
      <w:bookmarkEnd w:id="1031"/>
    </w:p>
    <w:p>
      <w:pPr>
        <w:pStyle w:val="13"/>
      </w:pPr>
      <w:r>
        <w:rPr>
          <w:rFonts w:ascii="Times New Roman" w:hAnsi="Times New Roman" w:eastAsia="Songti SC"/>
        </w:rPr>
        <w:t># 1) 安装 elan。刻意不装 default toolchain：</w:t>
      </w:r>
    </w:p>
    <w:p>
      <w:pPr>
        <w:pStyle w:val="13"/>
      </w:pPr>
      <w:r>
        <w:rPr>
          <w:rFonts w:ascii="Times New Roman" w:hAnsi="Times New Roman" w:eastAsia="Songti SC"/>
        </w:rPr>
        <w:t>#    版本由 lean-toolchain 决定（leanprover/lean4:v4.33.1）。</w:t>
      </w:r>
    </w:p>
    <w:p>
      <w:pPr>
        <w:pStyle w:val="13"/>
      </w:pPr>
      <w:r>
        <w:rPr>
          <w:rFonts w:ascii="Times New Roman" w:hAnsi="Times New Roman" w:eastAsia="Songti SC"/>
        </w:rPr>
        <w:t>curl -sSf https://elan.lean-lang.org/elan-init.sh | sh -s -- -y --default-toolchain none</w:t>
      </w:r>
    </w:p>
    <w:p>
      <w:pPr>
        <w:pStyle w:val="13"/>
      </w:pPr>
      <w:r>
        <w:rPr>
          <w:rFonts w:ascii="Times New Roman" w:hAnsi="Times New Roman" w:eastAsia="Songti SC"/>
        </w:rPr>
        <w:t>source ~/.elan/env             # 等价于把 ~/.elan/bin 加入 PATH</w:t>
      </w:r>
    </w:p>
    <w:p>
      <w:pPr>
        <w:pStyle w:val="13"/>
      </w:pPr>
    </w:p>
    <w:p>
      <w:pPr>
        <w:pStyle w:val="13"/>
      </w:pPr>
      <w:r>
        <w:rPr>
          <w:rFonts w:ascii="Times New Roman" w:hAnsi="Times New Roman" w:eastAsia="Songti SC"/>
        </w:rPr>
        <w:t>cd output/erdos-1091-lean/lean</w:t>
      </w:r>
    </w:p>
    <w:p>
      <w:pPr>
        <w:pStyle w:val="13"/>
      </w:pPr>
    </w:p>
    <w:p>
      <w:pPr>
        <w:pStyle w:val="13"/>
      </w:pPr>
      <w:r>
        <w:rPr>
          <w:rFonts w:ascii="Times New Roman" w:hAnsi="Times New Roman" w:eastAsia="Songti SC"/>
        </w:rPr>
        <w:t># 2) 下载 Mathlib 预编译 olean（GB 级；实测 126 秒，解包后 6.6 GB）。</w:t>
      </w:r>
    </w:p>
    <w:p>
      <w:pPr>
        <w:pStyle w:val="13"/>
      </w:pPr>
      <w:r>
        <w:rPr>
          <w:rFonts w:ascii="Times New Roman" w:hAnsi="Times New Roman" w:eastAsia="Songti SC"/>
        </w:rPr>
        <w:t>#    绝不要从源码编译 Mathlib。</w:t>
      </w:r>
    </w:p>
    <w:p>
      <w:pPr>
        <w:pStyle w:val="13"/>
      </w:pPr>
      <w:r>
        <w:rPr>
          <w:rFonts w:ascii="Times New Roman" w:hAnsi="Times New Roman" w:eastAsia="Songti SC"/>
        </w:rPr>
        <w:t>lake exe cache get</w:t>
      </w:r>
    </w:p>
    <w:p>
      <w:pPr>
        <w:pStyle w:val="13"/>
      </w:pPr>
    </w:p>
    <w:p>
      <w:pPr>
        <w:pStyle w:val="13"/>
      </w:pPr>
      <w:r>
        <w:rPr>
          <w:rFonts w:ascii="Times New Roman" w:hAnsi="Times New Roman" w:eastAsia="Songti SC"/>
        </w:rPr>
        <w:t># 3) 编译并审计</w:t>
      </w:r>
    </w:p>
    <w:p>
      <w:pPr>
        <w:pStyle w:val="13"/>
      </w:pPr>
      <w:r>
        <w:rPr>
          <w:rFonts w:ascii="Times New Roman" w:hAnsi="Times New Roman" w:eastAsia="Songti SC"/>
        </w:rPr>
        <w:t>LAKE</w:t>
      </w:r>
      <w:r>
        <w:rPr>
          <w:rFonts w:ascii="Times New Roman" w:hAnsi="Times New Roman" w:eastAsia="Songti SC"/>
          <w:i/>
        </w:rPr>
        <w:t>NUM</w:t>
      </w:r>
      <w:r>
        <w:rPr>
          <w:rFonts w:ascii="Times New Roman" w:hAnsi="Times New Roman" w:eastAsia="Songti SC"/>
        </w:rPr>
        <w:t>JOBS=2 lake build Erdos1091</w:t>
      </w:r>
    </w:p>
    <w:p>
      <w:pPr>
        <w:pStyle w:val="3"/>
      </w:pPr>
      <w:r>
        <w:rPr>
          <w:rFonts w:ascii="Times New Roman" w:hAnsi="Times New Roman" w:eastAsia="Songti SC"/>
        </w:rPr>
        <w:t xml:space="preserve">最后一步会连 </w:t>
      </w:r>
      <w:r>
        <w:rPr>
          <w:rFonts w:ascii="Times New Roman" w:hAnsi="Times New Roman" w:eastAsia="Songti SC"/>
        </w:rPr>
        <w:t>Erdos1091/Audit.lean</w:t>
      </w:r>
      <w:r>
        <w:rPr>
          <w:rFonts w:ascii="Times New Roman" w:hAnsi="Times New Roman" w:eastAsia="Songti SC"/>
        </w:rPr>
        <w:t xml:space="preserve"> 一起编译，把 41 条 </w:t>
      </w:r>
      <w:r>
        <w:rPr>
          <w:rFonts w:ascii="Times New Roman" w:hAnsi="Times New Roman" w:eastAsia="Songti SC"/>
        </w:rPr>
        <w:t>#print axioms</w:t>
      </w:r>
      <w:r>
        <w:rPr>
          <w:rFonts w:ascii="Times New Roman" w:hAnsi="Times New Roman" w:eastAsia="Songti SC"/>
        </w:rPr>
        <w:t xml:space="preserve"> 的结果打印到标准输出；与随附的 </w:t>
      </w:r>
      <w:r>
        <w:rPr>
          <w:rFonts w:ascii="Times New Roman" w:hAnsi="Times New Roman" w:eastAsia="Songti SC"/>
        </w:rPr>
        <w:t>axioms.txt</w:t>
      </w:r>
      <w:r>
        <w:rPr>
          <w:rFonts w:ascii="Times New Roman" w:hAnsi="Times New Roman" w:eastAsia="Songti SC"/>
        </w:rPr>
        <w:t xml:space="preserve"> 对照即可复核“无 sorry、无额外 axiom”。注意 Lake 5.0 已删除 </w:t>
      </w:r>
      <w:r>
        <w:rPr>
          <w:rFonts w:ascii="Times New Roman" w:hAnsi="Times New Roman" w:eastAsia="Songti SC"/>
        </w:rPr>
        <w:t>-j</w:t>
      </w:r>
      <w:r>
        <w:rPr>
          <w:rFonts w:ascii="Times New Roman" w:hAnsi="Times New Roman" w:eastAsia="Songti SC"/>
        </w:rPr>
        <w:t xml:space="preserve"> 短选项，并发必须用环境变量 </w:t>
      </w:r>
      <w:r>
        <w:rPr>
          <w:rFonts w:ascii="Times New Roman" w:hAnsi="Times New Roman" w:eastAsia="Songti SC"/>
        </w:rPr>
        <w:t>LAKE_NUM_JOBS</w:t>
      </w:r>
      <w:r>
        <w:rPr>
          <w:rFonts w:ascii="Times New Roman" w:hAnsi="Times New Roman" w:eastAsia="Songti SC"/>
        </w:rPr>
        <w:t>。</w:t>
      </w:r>
    </w:p>
    <w:p>
      <w:pPr>
        <w:pStyle w:val="3"/>
      </w:pPr>
      <w:r>
        <w:rPr>
          <w:rFonts w:ascii="Times New Roman" w:hAnsi="Times New Roman" w:eastAsia="Songti SC"/>
        </w:rPr>
        <w:t>Audit.lean</w:t>
      </w:r>
      <w:r>
        <w:rPr>
          <w:rFonts w:ascii="Times New Roman" w:hAnsi="Times New Roman" w:eastAsia="Songti SC"/>
        </w:rPr>
        <w:t xml:space="preserve"> 刻意不被任何文件 import，但放在库的 glob 里，因此 </w:t>
      </w:r>
      <w:r>
        <w:rPr>
          <w:rFonts w:ascii="Times New Roman" w:hAnsi="Times New Roman" w:eastAsia="Songti SC"/>
        </w:rPr>
        <w:t>lake build Erdos1091</w:t>
      </w:r>
      <w:r>
        <w:rPr>
          <w:rFonts w:ascii="Times New Roman" w:hAnsi="Times New Roman" w:eastAsia="Songti SC"/>
        </w:rPr>
        <w:t xml:space="preserve"> 会编译它并把审计输出打进构建日志。审计由此是 CI 可复现的，而不是靠人另跑一条命令。</w:t>
      </w:r>
    </w:p>
    <w:p>
      <w:pPr>
        <w:pStyle w:val="5"/>
      </w:pPr>
      <w:bookmarkStart w:id="1032" w:name="_ApevonHeading23"/>
      <w:r>
        <w:rPr>
          <w:rFonts w:ascii="Times New Roman" w:hAnsi="Times New Roman" w:eastAsia="Songti SC"/>
        </w:rPr>
        <w:t>6.2 实际审计结果</w:t>
      </w:r>
      <w:bookmarkEnd w:id="1032"/>
    </w:p>
    <w:p>
      <w:pPr>
        <w:pStyle w:val="3"/>
      </w:pPr>
      <w:r>
        <w:rPr>
          <w:rFonts w:ascii="Times New Roman" w:hAnsi="Times New Roman" w:eastAsia="Songti SC"/>
        </w:rPr>
        <w:t>下表是机械门的实际退出码与输出，不是口头描述。</w:t>
      </w:r>
    </w:p>
    <w:p>
      <w:pPr>
        <w:pStyle w:val="15"/>
        <w:keepNext/>
      </w:pPr>
      <w:bookmarkStart w:id="1033" w:name="_ApevonTable9"/>
      <w:r>
        <w:rPr>
          <w:rFonts w:ascii="Times New Roman" w:hAnsi="Times New Roman" w:eastAsia="Songti SC"/>
        </w:rPr>
        <w:t>表 9 机械审计门的实际结果</w:t>
      </w:r>
      <w:bookmarkEnd w:id="1033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956"/>
        <w:gridCol w:w="3912"/>
        <w:gridCol w:w="4221"/>
      </w:tblGrid>
      <w:tr>
        <w:trPr>
          <w:cantSplit/>
          <w:trHeight w:val="360" w:hRule="atLeast"/>
          <w:tblHeader/>
          <w:jc w:val="center"/>
        </w:trPr>
        <w:tc>
          <w:tcPr>
            <w:tcW w:w="1956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检查项</w:t>
            </w:r>
          </w:p>
        </w:tc>
        <w:tc>
          <w:tcPr>
            <w:tcW w:w="3912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命令</w:t>
            </w:r>
          </w:p>
        </w:tc>
        <w:tc>
          <w:tcPr>
            <w:tcW w:w="422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结果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全树编译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LAKE_NUM_JOBS=2 lake build Erdos1091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退出 0，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Build completed successfully (1201 jobs)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，零 warning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源码无 sorry / admit / axiom / native_decide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grep -rn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全树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无命中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构建日志无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uses 'sorry'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grep -n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日志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无命中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41 条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#print axioms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 逐行校验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python 解析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axioms.txt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41 行，0 处违规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目标陈述与 PR #5870 逐字符比对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python 归一化空白后比较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完全一致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交付目录独立编译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拷出后只软链 Mathlib 再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lake build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退出 0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</w:rPr>
        <w:t>顶层定理的审计行为：</w:t>
      </w:r>
    </w:p>
    <w:p>
      <w:pPr>
        <w:pStyle w:val="3"/>
      </w:pPr>
      <w:r>
        <w:rPr>
          <w:rFonts w:ascii="Times New Roman" w:hAnsi="Times New Roman" w:eastAsia="Songti SC"/>
        </w:rPr>
        <w:t>'Erdos1091.erdos_1091.variants.counterexample' depends on axioms:</w:t>
      </w:r>
    </w:p>
    <w:p>
      <w:pPr>
        <w:pStyle w:val="3"/>
      </w:pPr>
      <w:r>
        <w:rPr>
          <w:rFonts w:ascii="Times New Roman" w:hAnsi="Times New Roman" w:eastAsia="Songti SC"/>
        </w:rPr>
        <w:t>[propext, Classical.choice, Quot.sound]</w:t>
      </w:r>
    </w:p>
    <w:p>
      <w:pPr>
        <w:pStyle w:val="3"/>
      </w:pPr>
      <w:r>
        <w:rPr>
          <w:rFonts w:ascii="Times New Roman" w:hAnsi="Times New Roman" w:eastAsia="Songti SC"/>
        </w:rPr>
        <w:t>这正是 Mathlib 的标准三公理，也是“通过”的唯一可接受输出。41 条审计行中有一条更强：</w:t>
      </w:r>
      <w:r>
        <w:rPr>
          <w:rFonts w:ascii="Times New Roman" w:hAnsi="Times New Roman" w:eastAsia="Songti SC"/>
        </w:rPr>
        <w:t>mem_specialBlocks</w:t>
      </w:r>
      <w:r>
        <w:rPr>
          <w:rFonts w:ascii="Times New Roman" w:hAnsi="Times New Roman" w:eastAsia="Songti SC"/>
        </w:rPr>
        <w:t xml:space="preserve"> 的输出是 </w:t>
      </w:r>
      <w:r>
        <w:rPr>
          <w:rFonts w:ascii="Times New Roman" w:hAnsi="Times New Roman" w:eastAsia="Songti SC"/>
        </w:rPr>
        <w:t>[propext, Quot.sound]</w:t>
      </w:r>
      <w:r>
        <w:rPr>
          <w:rFonts w:ascii="Times New Roman" w:hAnsi="Times New Roman" w:eastAsia="Songti SC"/>
        </w:rPr>
        <w:t xml:space="preserve">，没有用到 </w:t>
      </w:r>
      <w:r>
        <w:rPr>
          <w:rFonts w:ascii="Times New Roman" w:hAnsi="Times New Roman" w:eastAsia="Songti SC"/>
        </w:rPr>
        <w:t>Classical.choice</w:t>
      </w:r>
      <w:r>
        <w:rPr>
          <w:rFonts w:ascii="Times New Roman" w:hAnsi="Times New Roman" w:eastAsia="Songti SC"/>
        </w:rPr>
        <w:t>。校验脚本按子集判定，因此通过。</w:t>
      </w:r>
    </w:p>
    <w:p>
      <w:pPr>
        <w:pStyle w:val="5"/>
      </w:pPr>
      <w:bookmarkStart w:id="1034" w:name="_ApevonHeading24"/>
      <w:r>
        <w:rPr>
          <w:rFonts w:ascii="Times New Roman" w:hAnsi="Times New Roman" w:eastAsia="Songti SC"/>
        </w:rPr>
        <w:t>6.3 全树规模</w:t>
      </w:r>
      <w:bookmarkEnd w:id="1034"/>
    </w:p>
    <w:p>
      <w:pPr>
        <w:pStyle w:val="3"/>
      </w:pPr>
      <w:r>
        <w:rPr>
          <w:rFonts w:ascii="Times New Roman" w:hAnsi="Times New Roman" w:eastAsia="Songti SC"/>
        </w:rPr>
        <w:t>自有 Lean 源码 3696 行，分布如下；另有 vendored 的 PR #5870 基座 536 行，不计入本工作。</w:t>
      </w:r>
    </w:p>
    <w:p>
      <w:pPr>
        <w:pStyle w:val="15"/>
        <w:keepNext/>
      </w:pPr>
      <w:bookmarkStart w:id="1035" w:name="_ApevonTable10"/>
      <w:r>
        <w:rPr>
          <w:rFonts w:ascii="Times New Roman" w:hAnsi="Times New Roman" w:eastAsia="Songti SC"/>
        </w:rPr>
        <w:t>表 10 自有 Lean 源码的文件规模</w:t>
      </w:r>
      <w:bookmarkEnd w:id="1035"/>
    </w:p>
    <w:tbl>
      <w:tblPr>
        <w:tblStyle w:val="10"/>
        <w:tblW w:w="5000" w:type="pct"/>
        <w:jc w:val="center"/>
        <w:tblBorders>
          <w:top w:val="single" w:color="102449" w:sz="6" w:space="0"/>
          <w:left w:val="single" w:color="D5DCE4" w:sz="4" w:space="0"/>
          <w:bottom w:val="single" w:color="102449" w:sz="6" w:space="0"/>
          <w:right w:val="single" w:color="D5DCE4" w:sz="4" w:space="0"/>
          <w:insideH w:val="single" w:color="D5DCE4" w:sz="4" w:space="0"/>
          <w:insideV w:val="single" w:color="E0E5EB" w:sz="2" w:space="0"/>
        </w:tblBorders>
        <w:tblLayout w:type="fixed"/>
        <w:tblCellMar>
          <w:top w:w="105" w:type="dxa"/>
          <w:left w:w="145" w:type="dxa"/>
          <w:bottom w:w="105" w:type="dxa"/>
          <w:right w:w="145" w:type="dxa"/>
        </w:tblCellMar>
      </w:tblPr>
      <w:tblGrid>
        <w:gridCol w:w="1956"/>
        <w:gridCol w:w="3912"/>
        <w:gridCol w:w="4221"/>
      </w:tblGrid>
      <w:tr>
        <w:trPr>
          <w:cantSplit/>
          <w:trHeight w:val="360" w:hRule="atLeast"/>
          <w:tblHeader/>
          <w:jc w:val="center"/>
        </w:trPr>
        <w:tc>
          <w:tcPr>
            <w:tcW w:w="1956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文件</w:t>
            </w:r>
          </w:p>
        </w:tc>
        <w:tc>
          <w:tcPr>
            <w:tcW w:w="3912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行数</w:t>
            </w:r>
          </w:p>
        </w:tc>
        <w:tc>
          <w:tcPr>
            <w:tcW w:w="4221" w:type="dxa"/>
            <w:shd w:val="clear" w:color="auto" w:fill="102449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FFFFFF"/>
                <w:sz w:val="17"/>
                <w:szCs w:val="17"/>
              </w:rPr>
              <w:t>内容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Erdos1091/Construction.lean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855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顶点类型、邻接、可判定实例、度数、顶点计数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Erdos1091/CliqueFree.lean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307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4.2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Erdos1091/Coloring.lean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450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4.3、4.4、Prop 4.5、显式 4-着色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266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Prop 4.6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Erdos1091/DegenerateCore.lean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138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spacing w:after="0" w:line="245" w:lineRule="auto"/>
              <w:jc w:val="center"/>
              <w:rPr>
                <w:b w:val="0"/>
                <w:bCs w:val="0"/>
              </w:rPr>
              <w:keepNext/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通用件：2-degenerate ⇒ 3-可着色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Erdos1091/Chords.lean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1278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Lemma 4.7 至 Prop 4.10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Erdos1091/Main.lean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234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Theorem 4.1 组装、搬运引理、目标陈述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Erdos1091/Audit.lean</w:t>
            </w:r>
          </w:p>
        </w:tc>
        <w:tc>
          <w:tcPr>
            <w:tcW w:w="3912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116</w:t>
            </w:r>
          </w:p>
        </w:tc>
        <w:tc>
          <w:tcPr>
            <w:tcW w:w="4221" w:type="dxa"/>
            <w:shd w:val="clear" w:color="auto" w:fill="FFFFFF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 xml:space="preserve">41 条 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#print axioms</w:t>
            </w: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，仅用于审计</w:t>
            </w:r>
          </w:p>
        </w:tc>
      </w:tr>
      <w:tr>
        <w:trPr>
          <w:cantSplit/>
          <w:trHeight w:val="300" w:hRule="atLeast"/>
          <w:jc w:val="center"/>
        </w:trPr>
        <w:tc>
          <w:tcPr>
            <w:tcW w:w="1956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Erdos1091.lean</w:t>
            </w:r>
          </w:p>
        </w:tc>
        <w:tc>
          <w:tcPr>
            <w:tcW w:w="3912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52</w:t>
            </w:r>
          </w:p>
        </w:tc>
        <w:tc>
          <w:tcPr>
            <w:tcW w:w="4221" w:type="dxa"/>
            <w:shd w:val="clear" w:color="auto" w:fill="F3F5F7"/>
            <w:vAlign w:val="center"/>
          </w:tcPr>
          <w:p>
            <w:pPr>
              <w:keepNext/>
              <w:spacing w:after="0" w:line="245" w:lineRule="auto"/>
              <w:jc w:val="center"/>
              <w:rPr>
                <w:b w:val="0"/>
                <w:bCs w:val="0"/>
              </w:rPr>
            </w:pPr>
            <w:r>
              <w:rPr>
                <w:rFonts w:ascii="Times New Roman" w:hAnsi="Times New Roman" w:eastAsia="Songti SC" w:cs="Times New Roman"/>
                <w:b w:val="0"/>
                <w:bCs w:val="0"/>
                <w:color w:val="18263D"/>
                <w:sz w:val="16"/>
                <w:szCs w:val="16"/>
              </w:rPr>
              <w:t>根模块</w:t>
            </w:r>
          </w:p>
        </w:tc>
      </w:tr>
    </w:tbl>
    <w:p>
      <w:pPr>
        <w:pStyle w:val="3"/>
      </w:pPr>
      <w:r>
        <w:rPr>
          <w:rFonts w:ascii="Times New Roman" w:hAnsi="Times New Roman" w:eastAsia="Songti SC"/>
        </w:rPr>
        <w:t>声明总数 217 条，全部证完。</w:t>
      </w:r>
      <w:r>
        <w:rPr>
          <w:rFonts w:ascii="Times New Roman" w:hAnsi="Times New Roman" w:eastAsia="Songti SC"/>
        </w:rPr>
        <w:t>Chords.lean</w:t>
      </w:r>
      <w:r>
        <w:rPr>
          <w:rFonts w:ascii="Times New Roman" w:hAnsi="Times New Roman" w:eastAsia="Songti SC"/>
        </w:rPr>
        <w:t xml:space="preserve"> 占全部自有代码的三分之一强，与弦数上界是本定理形式化成本最高的部分这一事实相符。</w:t>
      </w:r>
    </w:p>
    <w:p>
      <w:pPr>
        <w:pStyle w:val="5"/>
      </w:pPr>
      <w:bookmarkStart w:id="1036" w:name="_ApevonHeading25"/>
      <w:r>
        <w:rPr>
          <w:rFonts w:ascii="Times New Roman" w:hAnsi="Times New Roman" w:eastAsia="Songti SC"/>
        </w:rPr>
        <w:t>6.4 已知缺口</w:t>
      </w:r>
      <w:bookmarkEnd w:id="1036"/>
    </w:p>
    <w:p>
      <w:pPr>
        <w:pStyle w:val="3"/>
      </w:pPr>
      <w:r>
        <w:rPr>
          <w:rFonts w:ascii="Times New Roman" w:hAnsi="Times New Roman" w:eastAsia="Songti SC"/>
          <w:b/>
        </w:rPr>
        <w:t>没有。</w:t>
      </w:r>
      <w:r>
        <w:rPr>
          <w:rFonts w:ascii="Times New Roman" w:hAnsi="Times New Roman" w:eastAsia="Songti SC"/>
        </w:rPr>
        <w:t xml:space="preserve"> 全树零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 xml:space="preserve">、零 </w:t>
      </w:r>
      <w:r>
        <w:rPr>
          <w:rFonts w:ascii="Times New Roman" w:hAnsi="Times New Roman" w:eastAsia="Songti SC"/>
        </w:rPr>
        <w:t>admit</w:t>
      </w:r>
      <w:r>
        <w:rPr>
          <w:rFonts w:ascii="Times New Roman" w:hAnsi="Times New Roman" w:eastAsia="Songti SC"/>
        </w:rPr>
        <w:t xml:space="preserve">、零自定义 </w:t>
      </w:r>
      <w:r>
        <w:rPr>
          <w:rFonts w:ascii="Times New Roman" w:hAnsi="Times New Roman" w:eastAsia="Songti SC"/>
        </w:rPr>
        <w:t>axiom</w:t>
      </w:r>
      <w:r>
        <w:rPr>
          <w:rFonts w:ascii="Times New Roman" w:hAnsi="Times New Roman" w:eastAsia="Songti SC"/>
        </w:rPr>
        <w:t xml:space="preserve">、零 </w:t>
      </w:r>
      <w:r>
        <w:rPr>
          <w:rFonts w:ascii="Times New Roman" w:hAnsi="Times New Roman" w:eastAsia="Songti SC"/>
        </w:rPr>
        <w:t>native_decide</w:t>
      </w:r>
      <w:r>
        <w:rPr>
          <w:rFonts w:ascii="Times New Roman" w:hAnsi="Times New Roman" w:eastAsia="Songti SC"/>
        </w:rPr>
        <w:t>，41 条公理审计全部通过，目标陈述已证。上文 5.5 节列出的三处与论文路线的偏离不是缺口：它们证的是更弱但足够的中间命题，最终定理的陈述与强度未受影响。</w:t>
      </w:r>
    </w:p>
    <w:p>
      <w:pPr>
        <w:pStyle w:val="5"/>
      </w:pPr>
      <w:bookmarkStart w:id="1037" w:name="_ApevonHeading26"/>
      <w:r>
        <w:rPr>
          <w:rFonts w:ascii="Times New Roman" w:hAnsi="Times New Roman" w:eastAsia="Songti SC"/>
        </w:rPr>
        <w:t>6.5 非空性自检</w:t>
      </w:r>
      <w:bookmarkEnd w:id="1037"/>
    </w:p>
    <w:p>
      <w:pPr>
        <w:pStyle w:val="3"/>
      </w:pPr>
      <w:r>
        <w:rPr>
          <w:rFonts w:ascii="Times New Roman" w:hAnsi="Times New Roman" w:eastAsia="Songti SC"/>
        </w:rPr>
        <w:t>机械审计只能证明“没有 sorry”，不能证明“构造不是退化的”。为排除“形式化成立但对象为空”这一失败模式，另跑过一组求值检查：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Fintype.card (Vtx 2) = 71</w:t>
      </w:r>
      <w:r>
        <w:rPr>
          <w:rFonts w:ascii="Times New Roman" w:hAnsi="Times New Roman" w:eastAsia="Songti SC"/>
        </w:rPr>
        <w:t>、</w:t>
      </w:r>
      <w:r>
        <w:rPr>
          <w:rFonts w:ascii="Times New Roman" w:hAnsi="Times New Roman" w:eastAsia="Songti SC"/>
        </w:rPr>
        <w:t>Fintype.card (Vtx 3) = 91</w:t>
      </w:r>
      <w:r>
        <w:rPr>
          <w:rFonts w:ascii="Times New Roman" w:hAnsi="Times New Roman" w:eastAsia="Songti SC"/>
        </w:rPr>
        <w:t>，与 20m+31 吻合；</w:t>
      </w:r>
      <w:r>
        <w:rPr>
          <w:rFonts w:ascii="Times New Roman" w:hAnsi="Times New Roman" w:eastAsia="Songti SC"/>
        </w:rPr>
        <w:t>Fintype.card (ValidBlock 2) = 14</w:t>
      </w:r>
      <w:r>
        <w:rPr>
          <w:rFonts w:ascii="Times New Roman" w:hAnsi="Times New Roman" w:eastAsia="Songti SC"/>
        </w:rPr>
        <w:t>，与 4m+6 吻合。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不对称性真实存在：</w:t>
      </w:r>
      <w:r>
        <w:rPr>
          <w:rFonts w:ascii="Times New Roman" w:hAnsi="Times New Roman" w:eastAsia="Songti SC"/>
        </w:rPr>
        <w:t>(leaf 0 c).validB = false</w:t>
      </w:r>
      <w:r>
        <w:rPr>
          <w:rFonts w:ascii="Times New Roman" w:hAnsi="Times New Roman" w:eastAsia="Songti SC"/>
        </w:rPr>
        <w:t xml:space="preserve"> 且 </w:t>
      </w:r>
      <w:r>
        <w:rPr>
          <w:rFonts w:ascii="Times New Roman" w:hAnsi="Times New Roman" w:eastAsia="Songti SC"/>
        </w:rPr>
        <w:t>(leaf m a).validB = false</w:t>
      </w:r>
      <w:r>
        <w:rPr>
          <w:rFonts w:ascii="Times New Roman" w:hAnsi="Times New Roman" w:eastAsia="Songti SC"/>
        </w:rPr>
        <w:t xml:space="preserve">，而 </w:t>
      </w:r>
      <w:r>
        <w:rPr>
          <w:rFonts w:ascii="Times New Roman" w:hAnsi="Times New Roman" w:eastAsia="Songti SC"/>
        </w:rPr>
        <w:t>(leaf 0 a).validB = true</w:t>
      </w:r>
      <w:r>
        <w:rPr>
          <w:rFonts w:ascii="Times New Roman" w:hAnsi="Times New Roman" w:eastAsia="Songti SC"/>
        </w:rPr>
        <w:t xml:space="preserve"> 且 </w:t>
      </w:r>
      <w:r>
        <w:rPr>
          <w:rFonts w:ascii="Times New Roman" w:hAnsi="Times New Roman" w:eastAsia="Songti SC"/>
        </w:rPr>
        <w:t>(leaf m c).validB = true</w:t>
      </w:r>
      <w:r>
        <w:rPr>
          <w:rFonts w:ascii="Times New Roman" w:hAnsi="Times New Roman" w:eastAsia="Songti SC"/>
        </w:rPr>
        <w:t>。</w:t>
      </w:r>
    </w:p>
    <w:p>
      <w:pPr>
        <w:pStyle w:val="3"/>
        <w:numPr>
          <w:ilvl w:val="0"/>
          <w:numId w:val="101"/>
        </w:numPr>
      </w:pPr>
      <w:r>
        <w:rPr>
          <w:rFonts w:ascii="Times New Roman" w:hAnsi="Times New Roman" w:eastAsia="Songti SC"/>
        </w:rPr>
        <w:t>(G 2).degree (spine 0, a) = 3</w:t>
      </w:r>
      <w:r>
        <w:rPr>
          <w:rFonts w:ascii="Times New Roman" w:hAnsi="Times New Roman" w:eastAsia="Songti SC"/>
        </w:rPr>
        <w:t>，非 v 顶点度数恰为 3；</w:t>
      </w:r>
      <w:r>
        <w:rPr>
          <w:rFonts w:ascii="Times New Roman" w:hAnsi="Times New Roman" w:eastAsia="Songti SC"/>
        </w:rPr>
        <w:t>∃ u, (G 2).Adj v u</w:t>
      </w:r>
      <w:r>
        <w:rPr>
          <w:rFonts w:ascii="Times New Roman" w:hAnsi="Times New Roman" w:eastAsia="Songti SC"/>
        </w:rPr>
        <w:t xml:space="preserve"> 为真。</w:t>
      </w:r>
    </w:p>
    <w:p>
      <w:pPr>
        <w:pStyle w:val="3"/>
      </w:pPr>
      <w:r>
        <w:rPr>
          <w:rFonts w:ascii="Times New Roman" w:hAnsi="Times New Roman" w:eastAsia="Songti SC"/>
        </w:rPr>
        <w:t>这组检查用完即删，不进入交付源码。</w:t>
      </w:r>
    </w:p>
    <w:p>
      <w:pPr>
        <w:pStyle w:val="4"/>
      </w:pPr>
      <w:bookmarkStart w:id="1038" w:name="_ApevonHeading27"/>
      <w:r>
        <w:rPr>
          <w:rFonts w:ascii="Times New Roman" w:hAnsi="Times New Roman" w:eastAsia="Songti SC"/>
        </w:rPr>
        <w:t>7. 局限与后续</w:t>
      </w:r>
      <w:bookmarkEnd w:id="1038"/>
    </w:p>
    <w:p>
      <w:pPr>
        <w:pStyle w:val="5"/>
      </w:pPr>
      <w:bookmarkStart w:id="1039" w:name="_ApevonHeading28"/>
      <w:r>
        <w:rPr>
          <w:rFonts w:ascii="Times New Roman" w:hAnsi="Times New Roman" w:eastAsia="Songti SC"/>
        </w:rPr>
        <w:t>7.1 本工作的边界</w:t>
      </w:r>
      <w:bookmarkEnd w:id="1039"/>
    </w:p>
    <w:p>
      <w:pPr>
        <w:pStyle w:val="3"/>
      </w:pPr>
      <w:r>
        <w:rPr>
          <w:rFonts w:ascii="Times New Roman" w:hAnsi="Times New Roman" w:eastAsia="Songti SC"/>
        </w:rPr>
        <w:t>本工作只形式化了论文第 4 节的 Theorem 4.1 及其支撑引理，没有触及论文其余章节。数学上没有任何新结论；形式化上，5.5 节的三处偏离意味着交付的若干中间引理弱于论文的对应命题，尽管最终定理等价。</w:t>
      </w:r>
    </w:p>
    <w:p>
      <w:pPr>
        <w:pStyle w:val="3"/>
      </w:pPr>
      <w:r>
        <w:rPr>
          <w:rFonts w:ascii="Times New Roman" w:hAnsi="Times New Roman" w:eastAsia="Songti SC"/>
        </w:rPr>
        <w:t>本任务按用户诉求交付 Lean 源码与简要说明，</w:t>
      </w:r>
      <w:r>
        <w:rPr>
          <w:rFonts w:ascii="Times New Roman" w:hAnsi="Times New Roman" w:eastAsia="Songti SC"/>
          <w:b/>
        </w:rPr>
        <w:t>没有走完整研究链</w:t>
      </w:r>
      <w:r>
        <w:rPr>
          <w:rFonts w:ascii="Times New Roman" w:hAnsi="Times New Roman" w:eastAsia="Songti SC"/>
        </w:rPr>
        <w:t>，即不产出论文或文献综述。这是有意的范围决定：形式化工作的价值载体是可编译的源码本身与其审计结论，再套一层学术论文体裁不会增加可验证性。</w:t>
      </w:r>
    </w:p>
    <w:p>
      <w:pPr>
        <w:pStyle w:val="5"/>
      </w:pPr>
      <w:bookmarkStart w:id="1040" w:name="_ApevonHeading29"/>
      <w:r>
        <w:rPr>
          <w:rFonts w:ascii="Times New Roman" w:hAnsi="Times New Roman" w:eastAsia="Songti SC"/>
        </w:rPr>
        <w:t>7.2 提交 PR 的形态建议</w:t>
      </w:r>
      <w:bookmarkEnd w:id="1040"/>
    </w:p>
    <w:p>
      <w:pPr>
        <w:pStyle w:val="3"/>
      </w:pPr>
      <w:r>
        <w:rPr>
          <w:rFonts w:ascii="Times New Roman" w:hAnsi="Times New Roman" w:eastAsia="Songti SC"/>
        </w:rPr>
        <w:t>交付物已经可以直接改造成 formal-conjectures 的 PR。建议形态如下。</w:t>
      </w:r>
    </w:p>
    <w:p>
      <w:pPr>
        <w:pStyle w:val="3"/>
      </w:pPr>
      <w:r>
        <w:rPr>
          <w:rFonts w:ascii="Times New Roman" w:hAnsi="Times New Roman" w:eastAsia="Songti SC"/>
        </w:rPr>
        <w:t xml:space="preserve">把 </w:t>
      </w:r>
      <w:r>
        <w:rPr>
          <w:rFonts w:ascii="Times New Roman" w:hAnsi="Times New Roman" w:eastAsia="Songti SC"/>
        </w:rPr>
        <w:t>Erdos1091/</w:t>
      </w:r>
      <w:r>
        <w:rPr>
          <w:rFonts w:ascii="Times New Roman" w:hAnsi="Times New Roman" w:eastAsia="Songti SC"/>
        </w:rPr>
        <w:t xml:space="preserve">（可以不含 </w:t>
      </w:r>
      <w:r>
        <w:rPr>
          <w:rFonts w:ascii="Times New Roman" w:hAnsi="Times New Roman" w:eastAsia="Songti SC"/>
        </w:rPr>
        <w:t>Audit.lean</w:t>
      </w:r>
      <w:r>
        <w:rPr>
          <w:rFonts w:ascii="Times New Roman" w:hAnsi="Times New Roman" w:eastAsia="Songti SC"/>
        </w:rPr>
        <w:t xml:space="preserve">）与 </w:t>
      </w:r>
      <w:r>
        <w:rPr>
          <w:rFonts w:ascii="Times New Roman" w:hAnsi="Times New Roman" w:eastAsia="Songti SC"/>
        </w:rPr>
        <w:t>Erdos1091.lean</w:t>
      </w:r>
      <w:r>
        <w:rPr>
          <w:rFonts w:ascii="Times New Roman" w:hAnsi="Times New Roman" w:eastAsia="Songti SC"/>
        </w:rPr>
        <w:t xml:space="preserve"> 放进 fc 树，丢掉本目录的 </w:t>
      </w:r>
      <w:r>
        <w:rPr>
          <w:rFonts w:ascii="Times New Roman" w:hAnsi="Times New Roman" w:eastAsia="Songti SC"/>
        </w:rPr>
        <w:t>lakefile.toml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FormalConjecturesForMathlib/</w:t>
      </w:r>
      <w:r>
        <w:rPr>
          <w:rFonts w:ascii="Times New Roman" w:hAnsi="Times New Roman" w:eastAsia="Songti SC"/>
        </w:rPr>
        <w:t xml:space="preserve">，因为 fc 自带这两个文件。在 </w:t>
      </w:r>
      <w:r>
        <w:rPr>
          <w:rFonts w:ascii="Times New Roman" w:hAnsi="Times New Roman" w:eastAsia="Songti SC"/>
        </w:rPr>
        <w:t>fc/lakefile.toml</w:t>
      </w:r>
      <w:r>
        <w:rPr>
          <w:rFonts w:ascii="Times New Roman" w:hAnsi="Times New Roman" w:eastAsia="Songti SC"/>
        </w:rPr>
        <w:t xml:space="preserve"> 末尾追加：</w:t>
      </w:r>
    </w:p>
    <w:p>
      <w:pPr>
        <w:pStyle w:val="13"/>
      </w:pPr>
      <w:r>
        <w:rPr>
          <w:rFonts w:ascii="Times New Roman" w:hAnsi="Times New Roman" w:eastAsia="Songti SC"/>
        </w:rPr>
        <w:t>[[lean_lib]]</w:t>
      </w:r>
    </w:p>
    <w:p>
      <w:pPr>
        <w:pStyle w:val="13"/>
      </w:pPr>
      <w:r>
        <w:rPr>
          <w:rFonts w:ascii="Times New Roman" w:hAnsi="Times New Roman" w:eastAsia="Songti SC"/>
        </w:rPr>
        <w:t>name = "Erdos1091"</w:t>
      </w:r>
    </w:p>
    <w:p>
      <w:pPr>
        <w:pStyle w:val="13"/>
      </w:pPr>
      <w:r>
        <w:rPr>
          <w:rFonts w:ascii="Times New Roman" w:hAnsi="Times New Roman" w:eastAsia="Songti SC"/>
        </w:rPr>
        <w:t>globs = ["Erdos1091", "Erdos1091.+"]</w:t>
      </w:r>
    </w:p>
    <w:p>
      <w:pPr>
        <w:pStyle w:val="3"/>
      </w:pPr>
      <w:r>
        <w:rPr>
          <w:rFonts w:ascii="Times New Roman" w:hAnsi="Times New Roman" w:eastAsia="Songti SC"/>
        </w:rPr>
        <w:t xml:space="preserve">不要加 </w:t>
      </w:r>
      <w:r>
        <w:rPr>
          <w:rFonts w:ascii="Times New Roman" w:hAnsi="Times New Roman" w:eastAsia="Songti SC"/>
        </w:rPr>
        <w:t>warn.sorry = false</w:t>
      </w:r>
      <w:r>
        <w:rPr>
          <w:rFonts w:ascii="Times New Roman" w:hAnsi="Times New Roman" w:eastAsia="Songti SC"/>
        </w:rPr>
        <w:t xml:space="preserve">。独立立库的用处是 </w:t>
      </w:r>
      <w:r>
        <w:rPr>
          <w:rFonts w:ascii="Times New Roman" w:hAnsi="Times New Roman" w:eastAsia="Songti SC"/>
        </w:rPr>
        <w:t>lake build Erdos1091</w:t>
      </w:r>
      <w:r>
        <w:rPr>
          <w:rFonts w:ascii="Times New Roman" w:hAnsi="Times New Roman" w:eastAsia="Songti SC"/>
        </w:rPr>
        <w:t xml:space="preserve"> 只编译本形式化的几个文件加它们的 Mathlib 依赖，不去碰 fc 的几千个文件，CI 时间可控。</w:t>
      </w:r>
    </w:p>
    <w:p>
      <w:pPr>
        <w:pStyle w:val="3"/>
      </w:pPr>
      <w:r>
        <w:rPr>
          <w:rFonts w:ascii="Times New Roman" w:hAnsi="Times New Roman" w:eastAsia="Songti SC"/>
        </w:rPr>
        <w:t xml:space="preserve">PR 描述里应当写明：本 PR 填的是 #5870 中那条 </w:t>
      </w:r>
      <w:r>
        <w:rPr>
          <w:rFonts w:ascii="Times New Roman" w:hAnsi="Times New Roman" w:eastAsia="Songti SC"/>
        </w:rPr>
        <w:t>sorry</w:t>
      </w:r>
      <w:r>
        <w:rPr>
          <w:rFonts w:ascii="Times New Roman" w:hAnsi="Times New Roman" w:eastAsia="Songti SC"/>
        </w:rPr>
        <w:t>，签名未动；数学归原作者；新增的三条通用件可以按 reviewer 意见拆分或保留。</w:t>
      </w:r>
    </w:p>
    <w:p>
      <w:pPr>
        <w:pStyle w:val="5"/>
      </w:pPr>
      <w:bookmarkStart w:id="1041" w:name="_ApevonHeading30"/>
      <w:r>
        <w:rPr>
          <w:rFonts w:ascii="Times New Roman" w:hAnsi="Times New Roman" w:eastAsia="Songti SC"/>
        </w:rPr>
        <w:t>7.3 可独立上游到 Mathlib 的部分</w:t>
      </w:r>
      <w:bookmarkEnd w:id="1041"/>
    </w:p>
    <w:p>
      <w:pPr>
        <w:pStyle w:val="3"/>
      </w:pPr>
      <w:r>
        <w:rPr>
          <w:rFonts w:ascii="Times New Roman" w:hAnsi="Times New Roman" w:eastAsia="Songti SC"/>
        </w:rPr>
        <w:t>5.4 节列出的三条通用件与 Erdős 1091 无关，建议单独提交到 Mathlib 而非埋在 fc 里：</w:t>
      </w:r>
      <w:r>
        <w:rPr>
          <w:rFonts w:ascii="Times New Roman" w:hAnsi="Times New Roman" w:eastAsia="Songti SC"/>
        </w:rPr>
        <w:t>colorable_three_of_isTwoDegenerate</w:t>
      </w:r>
      <w:r>
        <w:rPr>
          <w:rFonts w:ascii="Times New Roman" w:hAnsi="Times New Roman" w:eastAsia="Songti SC"/>
        </w:rPr>
        <w:t xml:space="preserve"> 最有价值，因为 2-degenerate 到 3-可着色是图论里的常用事实而 Mathlib 目前缺失；</w:t>
      </w:r>
      <w:r>
        <w:rPr>
          <w:rFonts w:ascii="Times New Roman" w:hAnsi="Times New Roman" w:eastAsia="Songti SC"/>
        </w:rPr>
        <w:t>subgraph_chromaticNumber_congr</w:t>
      </w:r>
      <w:r>
        <w:rPr>
          <w:rFonts w:ascii="Times New Roman" w:hAnsi="Times New Roman" w:eastAsia="Songti SC"/>
        </w:rPr>
        <w:t xml:space="preserve"> 与 </w:t>
      </w:r>
      <w:r>
        <w:rPr>
          <w:rFonts w:ascii="Times New Roman" w:hAnsi="Times New Roman" w:eastAsia="Songti SC"/>
        </w:rPr>
        <w:t>cycle_chords_congr</w:t>
      </w:r>
      <w:r>
        <w:rPr>
          <w:rFonts w:ascii="Times New Roman" w:hAnsi="Times New Roman" w:eastAsia="Songti SC"/>
        </w:rPr>
        <w:t xml:space="preserve"> 属于同构不变性这一类样板结论，Mathlib 对其他图不变量已有对应版本，补齐这两条是自然的。</w:t>
      </w:r>
    </w:p>
    <w:p>
      <w:pPr>
        <w:pStyle w:val="5"/>
      </w:pPr>
      <w:bookmarkStart w:id="1042" w:name="_ApevonHeading31"/>
      <w:r>
        <w:rPr>
          <w:rFonts w:ascii="Times New Roman" w:hAnsi="Times New Roman" w:eastAsia="Songti SC"/>
        </w:rPr>
        <w:t>7.4 后续可做的加固</w:t>
      </w:r>
      <w:bookmarkEnd w:id="1042"/>
    </w:p>
    <w:p>
      <w:pPr>
        <w:pStyle w:val="3"/>
      </w:pPr>
      <w:r>
        <w:rPr>
          <w:rFonts w:ascii="Times New Roman" w:hAnsi="Times New Roman" w:eastAsia="Songti SC"/>
        </w:rPr>
        <w:t>若要把交付物推到论文的最强形式，两项工作是明确的：把不含 v 的圈的弦数从 ≤ 5 收紧到 = 0，需要补一段“C</w:t>
      </w:r>
      <w:r>
        <w:rPr>
          <w:rFonts w:ascii="Times New Roman" w:hAnsi="Times New Roman" w:eastAsia="Songti SC"/>
          <w:i/>
        </w:rPr>
        <w:t>5 中的圈即 C</w:t>
      </w:r>
      <w:r>
        <w:rPr>
          <w:rFonts w:ascii="Times New Roman" w:hAnsi="Times New Roman" w:eastAsia="Songti SC"/>
        </w:rPr>
        <w:t>5 本身”的论证；把含 v 的圈的计数改回论文的逐块 4+4+1+1 口径，需要补“内部脊块贡献 0”的块树位置讨论。两项都不影响 Theorem 4.1，纯粹是为了让 Lean 版本与纸面版本逐条对应。</w:t>
      </w:r>
    </w:p>
    <w:p>
      <w:pPr>
        <w:pStyle w:val="4"/>
      </w:pPr>
      <w:bookmarkStart w:id="1043" w:name="_ApevonHeading32"/>
      <w:r>
        <w:rPr>
          <w:rFonts w:ascii="Times New Roman" w:hAnsi="Times New Roman" w:eastAsia="Songti SC"/>
        </w:rPr>
        <w:t>参考文献</w:t>
      </w:r>
      <w:bookmarkEnd w:id="1043"/>
    </w:p>
    <w:p>
      <w:pPr>
        <w:pStyle w:val="3"/>
      </w:pPr>
      <w:r>
        <w:rPr>
          <w:rFonts w:ascii="Times New Roman" w:hAnsi="Times New Roman" w:eastAsia="Songti SC"/>
          <w:b/>
        </w:rPr>
        <w:t>[1]</w:t>
      </w:r>
      <w:r>
        <w:rPr>
          <w:rFonts w:ascii="Times New Roman" w:hAnsi="Times New Roman" w:eastAsia="Songti SC"/>
        </w:rPr>
        <w:t xml:space="preserve"> Alexeev, B., Putterman, E., Sawhney, M., Sellke, M., Valiant, G. Short proofs in combinatorics, probability and number theory II. arXiv preprint, 2026. </w:t>
      </w:r>
      <w:hyperlink ns6:id="rId17">
        <w:r>
          <w:rPr>
            <w:rFonts w:ascii="Times New Roman" w:hAnsi="Times New Roman" w:eastAsia="Songti SC"/>
            <w:u w:val="single"/>
          </w:rPr>
          <w:t xml:space="preserve">arXiv:2604.06609</w:t>
        </w:r>
      </w:hyperlink>
    </w:p>
    <w:p>
      <w:pPr>
        <w:pStyle w:val="3"/>
      </w:pPr>
      <w:r>
        <w:rPr>
          <w:rFonts w:ascii="Times New Roman" w:hAnsi="Times New Roman" w:eastAsia="Songti SC"/>
          <w:b/>
        </w:rPr>
        <w:t>[2]</w:t>
      </w:r>
      <w:r>
        <w:rPr>
          <w:rFonts w:ascii="Times New Roman" w:hAnsi="Times New Roman" w:eastAsia="Songti SC"/>
        </w:rPr>
        <w:t xml:space="preserve"> stantheman0128. feat: Erdős problem 1091 (statement only). google-deepmind/formal-conjectures Pull Request #5870, 2026. </w:t>
      </w:r>
      <w:hyperlink ns6:id="rId18">
        <w:r>
          <w:rPr>
            <w:rFonts w:ascii="Times New Roman" w:hAnsi="Times New Roman" w:eastAsia="Songti SC"/>
            <w:u w:val="single"/>
          </w:rPr>
          <w:t xml:space="preserve">GitHub</w:t>
        </w:r>
      </w:hyperlink>
    </w:p>
    <w:p>
      <w:pPr>
        <w:pStyle w:val="3"/>
      </w:pPr>
      <w:r>
        <w:rPr>
          <w:rFonts w:ascii="Times New Roman" w:hAnsi="Times New Roman" w:eastAsia="Songti SC"/>
          <w:b/>
        </w:rPr>
        <w:t>[3]</w:t>
      </w:r>
      <w:r>
        <w:rPr>
          <w:rFonts w:ascii="Times New Roman" w:hAnsi="Times New Roman" w:eastAsia="Songti SC"/>
        </w:rPr>
        <w:t xml:space="preserve"> The mathlib Community. The Lean mathematical library. Proceedings of CPP 2020, 2020. </w:t>
      </w:r>
      <w:hyperlink ns6:id="rId19">
        <w:r>
          <w:rPr>
            <w:rFonts w:ascii="Times New Roman" w:hAnsi="Times New Roman" w:eastAsia="Songti SC"/>
            <w:u w:val="single"/>
          </w:rPr>
          <w:t xml:space="preserve">Mathlib4 仓库</w:t>
        </w:r>
      </w:hyperlink>
    </w:p>
    <w:p>
      <w:pPr>
        <w:pStyle w:val="3"/>
      </w:pPr>
      <w:r>
        <w:rPr>
          <w:rFonts w:ascii="Times New Roman" w:hAnsi="Times New Roman" w:eastAsia="Songti SC"/>
          <w:b/>
        </w:rPr>
        <w:t>[4]</w:t>
      </w:r>
      <w:r>
        <w:rPr>
          <w:rFonts w:ascii="Times New Roman" w:hAnsi="Times New Roman" w:eastAsia="Songti SC"/>
        </w:rPr>
        <w:t xml:space="preserve"> Moura, L. de, Ullrich, S. The Lean 4 Theorem Prover and Programming Language. Proceedings of CADE-28, 2021. </w:t>
      </w:r>
      <w:hyperlink ns6:id="rId20">
        <w:r>
          <w:rPr>
            <w:rFonts w:ascii="Times New Roman" w:hAnsi="Times New Roman" w:eastAsia="Songti SC"/>
            <w:u w:val="single"/>
          </w:rPr>
          <w:t xml:space="preserve">Lean 4 仓库</w:t>
        </w:r>
      </w:hyperlink>
    </w:p>
    <w:sectPr>
      <w:footerReference ns6:id="rId4" w:type="default"/>
      <w:pgSz w:w="11906" w:h="16838"/>
      <w:pgMar w:top="920" w:right="1053" w:bottom="920" w:left="1053" w:header="390" w:footer="420" w:gutter="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roman"/>
    <w:pitch w:val="default"/>
    <w:sig w:usb0="00000001" w:usb1="080F0000" w:usb2="00000000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fldChar w:fldCharType="begin"/>
    </w:r>
    <w:r>
      <w:rPr>
        <w:rFonts w:ascii="Times New Roman" w:hAnsi="Times New Roman" w:eastAsia="Songti SC" w:cs="Times New Roman"/>
        <w:color w:val="000000"/>
        <w:sz w:val="18"/>
      </w:rPr>
      <w:instrText xml:space="preserve"> PAGE </w:instrText>
    </w:r>
    <w:r>
      <w:rPr>
        <w:rFonts w:ascii="Times New Roman" w:hAnsi="Times New Roman" w:eastAsia="Songti SC" w:cs="Times New Roman"/>
        <w:color w:val="000000"/>
        <w:sz w:val="18"/>
      </w:rPr>
      <w:fldChar w:fldCharType="separate"/>
    </w:r>
    <w:r>
      <w:rPr>
        <w:rFonts w:ascii="Times New Roman" w:hAnsi="Times New Roman" w:eastAsia="Songti SC" w:cs="Times New Roman"/>
        <w:color w:val="000000"/>
        <w:sz w:val="18"/>
      </w:rPr>
      <w:t>1</w:t>
    </w:r>
    <w:r>
      <w:rPr>
        <w:rFonts w:ascii="Times New Roman" w:hAnsi="Times New Roman" w:eastAsia="Songti SC" w:cs="Times New Roman"/>
        <w:color w:val="000000"/>
        <w:sz w:val="18"/>
      </w:rPr>
      <w:fldChar w:fldCharType="end"/>
    </w:r>
  </w:p>
</w:ftr>
</file>

<file path=word/footer2.xml><?xml version="1.0" encoding="utf-8"?>
<w:ftr xmlns:w="http://schemas.openxmlformats.org/wordprocessingml/2006/main">
  <w:p>
    <w:pPr>
      <w:spacing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fldChar w:fldCharType="begin"/>
    </w:r>
    <w:r>
      <w:rPr>
        <w:rFonts w:ascii="Times New Roman" w:hAnsi="Times New Roman" w:eastAsia="Songti SC" w:cs="Times New Roman"/>
        <w:color w:val="000000"/>
        <w:sz w:val="18"/>
      </w:rPr>
      <w:instrText xml:space="preserve"> PAGE </w:instrText>
    </w:r>
    <w:r>
      <w:rPr>
        <w:rFonts w:ascii="Times New Roman" w:hAnsi="Times New Roman" w:eastAsia="Songti SC" w:cs="Times New Roman"/>
        <w:color w:val="000000"/>
        <w:sz w:val="18"/>
      </w:rPr>
      <w:fldChar w:fldCharType="separate"/>
    </w:r>
    <w:r>
      <w:rPr>
        <w:rFonts w:ascii="Times New Roman" w:hAnsi="Times New Roman" w:eastAsia="Songti SC" w:cs="Times New Roman"/>
        <w:color w:val="000000"/>
        <w:sz w:val="18"/>
      </w:rPr>
      <w:t>1</w:t>
    </w:r>
    <w:r>
      <w:rPr>
        <w:rFonts w:ascii="Times New Roman" w:hAnsi="Times New Roman" w:eastAsia="Songti SC" w:cs="Times New Roman"/>
        <w:color w:val="000000"/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420" w:hanging="360"/>
      </w:pPr>
      <w:rPr>
        <w:rFonts w:ascii="Times New Roman" w:hAnsi="Times New Roman" w:eastAsia="Songti SC" w:cs="Times New Roman" w:hint="eastAsia"/>
      </w:rPr>
    </w:lvl>
    <w:lvl w:ilvl="1">
      <w:start w:val="1"/>
      <w:numFmt w:val="bullet"/>
      <w:lvlText w:val="◦"/>
      <w:lvlJc w:val="left"/>
      <w:pPr>
        <w:ind w:left="840" w:hanging="360"/>
      </w:pPr>
      <w:rPr>
        <w:rFonts w:ascii="Times New Roman" w:hAnsi="Times New Roman" w:eastAsia="Songti SC" w:cs="Times New Roman" w:hint="eastAsia"/>
      </w:rPr>
    </w:lvl>
    <w:lvl w:ilvl="2">
      <w:start w:val="1"/>
      <w:numFmt w:val="bullet"/>
      <w:lvlText w:val="▪"/>
      <w:lvlJc w:val="left"/>
      <w:pPr>
        <w:ind w:left="1260" w:hanging="360"/>
      </w:pPr>
      <w:rPr>
        <w:rFonts w:ascii="Times New Roman" w:hAnsi="Times New Roman" w:eastAsia="Songti SC" w:cs="Times New Roman" w:hint="eastAsi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eastAsia="Songti SC" w:cs="Times New Roman" w:hint="eastAsia"/>
      </w:rPr>
    </w:lvl>
    <w:lvl w:ilvl="1">
      <w:start w:val="1"/>
      <w:numFmt w:val="lowerLetter"/>
      <w:lvlText w:val="%2)"/>
      <w:lvlJc w:val="left"/>
      <w:pPr>
        <w:ind w:left="840" w:hanging="360"/>
      </w:pPr>
      <w:rPr>
        <w:rFonts w:ascii="Times New Roman" w:hAnsi="Times New Roman" w:eastAsia="Songti SC" w:cs="Times New Roman" w:hint="eastAsia"/>
      </w:rPr>
    </w:lvl>
    <w:lvl w:ilvl="2">
      <w:start w:val="1"/>
      <w:numFmt w:val="lowerRoman"/>
      <w:lvlText w:val="%3."/>
      <w:lvlJc w:val="left"/>
      <w:pPr>
        <w:ind w:left="1260" w:hanging="360"/>
      </w:pPr>
      <w:rPr>
        <w:rFonts w:ascii="Times New Roman" w:hAnsi="Times New Roman" w:eastAsia="Songti SC" w:cs="Times New Roman" w:hint="eastAsia"/>
      </w:rPr>
    </w:lvl>
  </w:abstractNum>
  <w:num w:numId="101">
    <w:abstractNumId w:val="1"/>
  </w:num>
  <w:num w:numId="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hdrShapeDefaults>
    <o:shapelayout v:ext="edit">
      <o:idmap v:ext="edit" data="3,4"/>
    </o:shapelayout>
  </w:hdrShapeDefaults>
  <w:compat>
    <w:useFELayout/>
    <w:compatSetting w:name="compatibilityMode" w:uri="http://schemas.microsoft.com/office/word" w:val="12"/>
  </w:compat>
  <w:rsids>
    <w:rsidRoot w:val="00000000"/>
    <w:rsid w:val="1EC7F824"/>
    <w:rsid w:val="1FEEB48F"/>
    <w:rsid w:val="35E50BCA"/>
    <w:rsid w:val="3AF7DCD1"/>
    <w:rsid w:val="3F3F1D4B"/>
    <w:rsid w:val="3F5F48B0"/>
    <w:rsid w:val="3F7E7B4D"/>
    <w:rsid w:val="3F7E862A"/>
    <w:rsid w:val="3FF90BCE"/>
    <w:rsid w:val="4B7F5274"/>
    <w:rsid w:val="577F63AE"/>
    <w:rsid w:val="58F619AE"/>
    <w:rsid w:val="6B67875E"/>
    <w:rsid w:val="6BFFF219"/>
    <w:rsid w:val="6F48C434"/>
    <w:rsid w:val="6FC9EE5C"/>
    <w:rsid w:val="73D9E45B"/>
    <w:rsid w:val="73DFA342"/>
    <w:rsid w:val="753F30A7"/>
    <w:rsid w:val="76FE8734"/>
    <w:rsid w:val="77FBC752"/>
    <w:rsid w:val="7AA625CB"/>
    <w:rsid w:val="7D73216B"/>
    <w:rsid w:val="7F8B2FF7"/>
    <w:rsid w:val="B9DFD287"/>
    <w:rsid w:val="BFFE1A6C"/>
    <w:rsid w:val="E35BE8E2"/>
    <w:rsid w:val="E6FEDD15"/>
    <w:rsid w:val="ED6BFCD4"/>
    <w:rsid w:val="EFEB1381"/>
    <w:rsid w:val="F60D2D24"/>
    <w:rsid w:val="FAD0D6EE"/>
    <w:rsid w:val="FCC13BEB"/>
    <w:rsid w:val="FDABD1F0"/>
    <w:rsid w:val="FDBD18F6"/>
    <w:rsid w:val="FE9CC533"/>
    <w:rsid w:val="FEDB0E06"/>
    <w:rsid w:val="FF6D9F9F"/>
    <w:rsid w:val="FF7FEAA1"/>
    <w:rsid w:val="FFCB86D4"/>
    <w:rsid w:val="FFDF30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ongti SC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="Times New Roman"/>
      <w:color w:val="18263D"/>
      <w:sz w:val="19"/>
      <w:szCs w:val="19"/>
      <w:lang w:val="en-US" w:eastAsia="zh-CN"/>
    </w:rPr>
  </w:style>
  <w:style w:type="paragraph" w:styleId="2">
    <w:name w:val="heading 1"/>
    <w:basedOn w:val="3"/>
    <w:next w:val="3"/>
    <w:qFormat/>
    <w:uiPriority w:val="9"/>
    <w:pPr>
      <w:keepNext/>
      <w:keepLines/>
      <w:spacing w:before="380" w:after="120"/>
      <w:outlineLvl w:val="0"/>
    </w:pPr>
    <w:rPr>
      <w:rFonts w:ascii="Times New Roman" w:hAnsi="Times New Roman" w:eastAsia="Songti SC" w:cs="Times New Roman"/>
      <w:b/>
      <w:color w:val="102449"/>
      <w:sz w:val="32"/>
      <w:szCs w:val="32"/>
    </w:rPr>
  </w:style>
  <w:style w:type="paragraph" w:styleId="4">
    <w:name w:val="heading 2"/>
    <w:basedOn w:val="3"/>
    <w:next w:val="3"/>
    <w:qFormat/>
    <w:uiPriority w:val="9"/>
    <w:pPr>
      <w:keepNext/>
      <w:keepLines/>
      <w:spacing w:before="300" w:after="90"/>
      <w:outlineLvl w:val="1"/>
    </w:pPr>
    <w:rPr>
      <w:rFonts w:ascii="Times New Roman" w:hAnsi="Times New Roman" w:eastAsia="Songti SC" w:cs="Times New Roman"/>
      <w:b/>
      <w:color w:val="1F5BA8"/>
      <w:sz w:val="23"/>
      <w:szCs w:val="23"/>
    </w:rPr>
  </w:style>
  <w:style w:type="paragraph" w:styleId="5">
    <w:name w:val="heading 3"/>
    <w:basedOn w:val="3"/>
    <w:next w:val="3"/>
    <w:qFormat/>
    <w:uiPriority w:val="9"/>
    <w:pPr>
      <w:keepNext/>
      <w:keepLines/>
      <w:spacing w:before="200" w:after="60"/>
      <w:outlineLvl w:val="2"/>
    </w:pPr>
    <w:rPr>
      <w:rFonts w:ascii="Times New Roman" w:hAnsi="Times New Roman" w:eastAsia="Songti SC" w:cs="Times New Roman"/>
      <w:b/>
      <w:color w:val="102449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1"/>
    <w:basedOn w:val="1"/>
    <w:uiPriority w:val="0"/>
    <w:pPr>
      <w:widowControl/>
      <w:spacing w:before="0" w:after="100" w:line="288" w:lineRule="auto"/>
    </w:pPr>
    <w:rPr>
      <w:rFonts w:ascii="Times New Roman" w:hAnsi="Times New Roman" w:eastAsia="Songti SC" w:cs="Times New Roman"/>
      <w:color w:val="18263D"/>
      <w:sz w:val="19"/>
      <w:szCs w:val="19"/>
    </w:rPr>
  </w:style>
  <w:style w:type="paragraph" w:styleId="6">
    <w:name w:val="toc 3"/>
    <w:basedOn w:val="3"/>
    <w:uiPriority w:val="0"/>
    <w:pPr>
      <w:tabs>
        <w:tab w:val="right" w:leader="dot" w:pos="9200"/>
      </w:tabs>
      <w:spacing w:before="0" w:after="0" w:line="300" w:lineRule="atLeast"/>
      <w:ind w:left="920" w:right="500"/>
    </w:pPr>
    <w:rPr>
      <w:rFonts w:ascii="Times New Roman" w:hAnsi="Times New Roman" w:eastAsia="Songti SC" w:cs="Times New Roman"/>
      <w:color w:val="000000"/>
      <w:sz w:val="19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3"/>
    <w:uiPriority w:val="0"/>
    <w:pPr>
      <w:tabs>
        <w:tab w:val="right" w:leader="dot" w:pos="9200"/>
      </w:tabs>
      <w:spacing w:before="0" w:after="0" w:line="300" w:lineRule="atLeast"/>
      <w:ind w:left="560" w:right="500"/>
    </w:pPr>
    <w:rPr>
      <w:rFonts w:ascii="Times New Roman" w:hAnsi="Times New Roman" w:eastAsia="Songti SC" w:cs="Times New Roman"/>
      <w:color w:val="000000"/>
      <w:sz w:val="20"/>
    </w:rPr>
  </w:style>
  <w:style w:type="paragraph" w:styleId="9">
    <w:name w:val="toc 2"/>
    <w:basedOn w:val="3"/>
    <w:uiPriority w:val="0"/>
    <w:pPr>
      <w:tabs>
        <w:tab w:val="right" w:leader="dot" w:pos="9200"/>
      </w:tabs>
      <w:spacing w:before="0" w:after="0" w:line="300" w:lineRule="atLeast"/>
      <w:ind w:left="920" w:right="500"/>
    </w:pPr>
    <w:rPr>
      <w:rFonts w:ascii="Times New Roman" w:hAnsi="Times New Roman" w:eastAsia="Songti SC" w:cs="Times New Roman"/>
      <w:color w:val="000000"/>
      <w:sz w:val="19"/>
    </w:rPr>
  </w:style>
  <w:style w:type="paragraph" w:customStyle="1" w:styleId="12">
    <w:name w:val="引导段"/>
    <w:basedOn w:val="3"/>
    <w:next w:val="3"/>
    <w:uiPriority w:val="0"/>
    <w:pPr>
      <w:widowControl/>
      <w:spacing w:before="30" w:after="180" w:line="288" w:lineRule="auto"/>
    </w:pPr>
    <w:rPr>
      <w:rFonts w:ascii="Times New Roman" w:hAnsi="Times New Roman" w:eastAsia="Songti SC" w:cs="Times New Roman"/>
      <w:color w:val="102449"/>
      <w:sz w:val="21"/>
      <w:szCs w:val="21"/>
    </w:rPr>
  </w:style>
  <w:style w:type="paragraph" w:customStyle="1" w:styleId="13">
    <w:name w:val="说明"/>
    <w:basedOn w:val="3"/>
    <w:next w:val="3"/>
    <w:uiPriority w:val="0"/>
    <w:pPr>
      <w:widowControl/>
      <w:spacing w:before="0" w:after="110" w:line="288" w:lineRule="auto"/>
    </w:pPr>
    <w:rPr>
      <w:rFonts w:ascii="Times New Roman" w:hAnsi="Times New Roman" w:eastAsia="Songti SC" w:cs="Times New Roman"/>
      <w:color w:val="657184"/>
      <w:sz w:val="17"/>
      <w:szCs w:val="17"/>
    </w:rPr>
  </w:style>
  <w:style w:type="paragraph" w:customStyle="1" w:styleId="14">
    <w:name w:val="图注"/>
    <w:basedOn w:val="3"/>
    <w:next w:val="3"/>
    <w:uiPriority w:val="0"/>
    <w:pPr>
      <w:widowControl/>
      <w:spacing w:before="80" w:after="130" w:line="288" w:lineRule="auto"/>
    </w:pPr>
    <w:rPr>
      <w:rFonts w:ascii="Times New Roman" w:hAnsi="Times New Roman" w:eastAsia="Songti SC" w:cs="Times New Roman"/>
      <w:i/>
      <w:color w:val="657184"/>
      <w:sz w:val="16"/>
      <w:szCs w:val="16"/>
    </w:rPr>
  </w:style>
  <w:style w:type="paragraph" w:customStyle="1" w:styleId="15">
    <w:name w:val="表题"/>
    <w:basedOn w:val="3"/>
    <w:next w:val="3"/>
    <w:uiPriority w:val="0"/>
    <w:pPr>
      <w:widowControl/>
      <w:spacing w:before="200" w:after="90" w:line="288" w:lineRule="auto"/>
    </w:pPr>
    <w:rPr>
      <w:rFonts w:ascii="Times New Roman" w:hAnsi="Times New Roman" w:eastAsia="Songti SC" w:cs="Times New Roman"/>
      <w:b/>
      <w:color w:val="102449"/>
      <w:sz w:val="17"/>
      <w:szCs w:val="17"/>
    </w:rPr>
  </w:style>
  <w:style w:type="paragraph" w:customStyle="1" w:styleId="16">
    <w:name w:val="参考文献"/>
    <w:basedOn w:val="3"/>
    <w:next w:val="3"/>
    <w:uiPriority w:val="0"/>
    <w:pPr>
      <w:widowControl/>
      <w:spacing w:before="0" w:after="72" w:line="288" w:lineRule="auto"/>
    </w:pPr>
    <w:rPr>
      <w:rFonts w:ascii="Times New Roman" w:hAnsi="Times New Roman" w:eastAsia="Songti SC" w:cs="Times New Roman"/>
      <w:color w:val="18263D"/>
      <w:sz w:val="16"/>
      <w:szCs w:val="16"/>
    </w:rPr>
  </w:style>
  <w:style w:type="paragraph" w:customStyle="1" w:styleId="17">
    <w:name w:val="目录标题"/>
    <w:basedOn w:val="3"/>
    <w:next w:val="3"/>
    <w:uiPriority w:val="0"/>
    <w:pPr>
      <w:widowControl/>
      <w:spacing w:before="0" w:after="160" w:line="288" w:lineRule="auto"/>
    </w:pPr>
    <w:rPr>
      <w:rFonts w:ascii="Times New Roman" w:hAnsi="Times New Roman" w:eastAsia="Songti SC" w:cs="Times New Roman"/>
      <w:b/>
      <w:color w:val="10244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image" Target="media/image8.png"/><Relationship Id="rId17" Type="http://schemas.openxmlformats.org/officeDocument/2006/relationships/hyperlink" Target="https://arxiv.org/abs/2604.06609" TargetMode="External"/><Relationship Id="rId18" Type="http://schemas.openxmlformats.org/officeDocument/2006/relationships/hyperlink" Target="https://github.com/google-deepmind/formal-conjectures/pull/5870" TargetMode="External"/><Relationship Id="rId19" Type="http://schemas.openxmlformats.org/officeDocument/2006/relationships/hyperlink" Target="https://github.com/leanprover-community/mathlib4" TargetMode="External"/><Relationship Id="rId20" Type="http://schemas.openxmlformats.org/officeDocument/2006/relationships/hyperlink" Target="https://github.com/leanprover/lean4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 textRotate="1"/>
    <customShpInfo spid="_x0000_s4098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Application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Erdős 1091 反例的 Lean 4 形式化</dc:title>
  <dc:subject/>
  <dc:creator/>
  <cp:keywords/>
  <dc:description/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