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Original Memo Prompt: </w:t>
      </w:r>
      <w:r w:rsidDel="00000000" w:rsidR="00000000" w:rsidRPr="00000000">
        <w:rPr>
          <w:rFonts w:ascii="Arial" w:cs="Arial" w:eastAsia="Arial" w:hAnsi="Arial"/>
          <w:color w:val="1f1f1f"/>
          <w:sz w:val="26"/>
          <w:szCs w:val="26"/>
          <w:shd w:fill="f2f0f0" w:val="clear"/>
          <w:rtl w:val="0"/>
        </w:rPr>
        <w:t xml:space="preserve">You are a mid-level manager, and your mission is to understand the trends in the Avocado market in the USA. You want to have a memo typed out, addressed to you, no longer than 2 pages, using the data in these two files. Please strictly make conclusions only using the data within these files and do not hallucinate.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o3ztmxel28r3" w:id="0"/>
      <w:bookmarkEnd w:id="0"/>
      <w:r w:rsidDel="00000000" w:rsidR="00000000" w:rsidRPr="00000000">
        <w:rPr>
          <w:rtl w:val="0"/>
        </w:rPr>
        <w:t xml:space="preserve">MEMORANDUM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Mid-Level Manager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Market Intelligence &amp; FP&amp;A Team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September 27, 2026</w:t>
        <w:br w:type="textWrapping"/>
        <w:t xml:space="preserve">SUBJECT: U.S. Avocado Market Performance &amp; Regional Trend Analysis (2025 vs. 2026 Year-to-Date)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jbohqeleztsv" w:id="1"/>
      <w:bookmarkEnd w:id="1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An analysis of Hass Avocado Board (HAB) weekly market data comparing the first 32 weeks (Periods 1–8) of 2025 (Week Ending Jan 05, 2025 – Aug 10, 2025) and 2026 (Week Ending Jan 04, 2026 – Aug 09, 2026) reveals strong volume expansion across the U.S. market alongside price deflation. Total national unit volume increased </w:t>
      </w:r>
      <w:r w:rsidDel="00000000" w:rsidR="00000000" w:rsidRPr="00000000">
        <w:rPr>
          <w:b w:val="1"/>
          <w:bCs w:val="1"/>
          <w:rtl w:val="0"/>
        </w:rPr>
        <w:t xml:space="preserve">+13.64%</w:t>
      </w:r>
      <w:r w:rsidDel="00000000" w:rsidR="00000000" w:rsidRPr="00000000">
        <w:rPr>
          <w:rtl w:val="0"/>
        </w:rPr>
        <w:t xml:space="preserve"> year-over-year, while total dollar sales contracted -8.01% due to a -19.05% reduction in national Average Selling Price (ASP).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9id3lebl61en" w:id="2"/>
      <w:bookmarkEnd w:id="2"/>
      <w:r w:rsidDel="00000000" w:rsidR="00000000" w:rsidRPr="00000000">
        <w:rPr>
          <w:rtl w:val="0"/>
        </w:rPr>
        <w:t xml:space="preserve">Key National Metrics (Weeks 1–32)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Volume (Units):</w:t>
      </w:r>
      <w:r w:rsidDel="00000000" w:rsidR="00000000" w:rsidRPr="00000000">
        <w:rPr>
          <w:rtl w:val="0"/>
        </w:rPr>
        <w:t xml:space="preserve"> 1,870,698,865 in 2025 vs. 2,125,800,177 in 2026 (</w:t>
      </w:r>
      <w:r w:rsidDel="00000000" w:rsidR="00000000" w:rsidRPr="00000000">
        <w:rPr>
          <w:b w:val="1"/>
          <w:bCs w:val="1"/>
          <w:rtl w:val="0"/>
        </w:rPr>
        <w:t xml:space="preserve">+13.64%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Sales ($):</w:t>
      </w:r>
      <w:r w:rsidDel="00000000" w:rsidR="00000000" w:rsidRPr="00000000">
        <w:rPr>
          <w:rtl w:val="0"/>
        </w:rPr>
        <w:t xml:space="preserve"> $2,329,302,855 in 2025 vs. $2,142,657,309 in 2026 (</w:t>
      </w:r>
      <w:r w:rsidDel="00000000" w:rsidR="00000000" w:rsidRPr="00000000">
        <w:rPr>
          <w:b w:val="1"/>
          <w:bCs w:val="1"/>
          <w:rtl w:val="0"/>
        </w:rPr>
        <w:t xml:space="preserve">-8.01%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Weighted ASP ($/Unit):</w:t>
      </w:r>
      <w:r w:rsidDel="00000000" w:rsidR="00000000" w:rsidRPr="00000000">
        <w:rPr>
          <w:rtl w:val="0"/>
        </w:rPr>
        <w:t xml:space="preserve"> $1.2452 in 2025 vs. $1.0079 in 2026 (</w:t>
      </w:r>
      <w:r w:rsidDel="00000000" w:rsidR="00000000" w:rsidRPr="00000000">
        <w:rPr>
          <w:b w:val="1"/>
          <w:bCs w:val="1"/>
          <w:rtl w:val="0"/>
        </w:rPr>
        <w:t xml:space="preserve">-19.05%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7qzqlcmlltpg" w:id="3"/>
      <w:bookmarkEnd w:id="3"/>
      <w:r w:rsidDel="00000000" w:rsidR="00000000" w:rsidRPr="00000000">
        <w:rPr>
          <w:rtl w:val="0"/>
        </w:rPr>
        <w:t xml:space="preserve">Sales &amp; Volume Performance by Product Category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m6rlpjdui3fj" w:id="4"/>
      <w:bookmarkEnd w:id="4"/>
      <w:r w:rsidDel="00000000" w:rsidR="00000000" w:rsidRPr="00000000">
        <w:rPr>
          <w:rtl w:val="0"/>
        </w:rPr>
        <w:t xml:space="preserve">Conventional vs. Organic Trends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Conventional Avocados:</w:t>
      </w:r>
      <w:r w:rsidDel="00000000" w:rsidR="00000000" w:rsidRPr="00000000">
        <w:rPr>
          <w:rtl w:val="0"/>
        </w:rPr>
        <w:t xml:space="preserve"> Volume grew </w:t>
      </w:r>
      <w:r w:rsidDel="00000000" w:rsidR="00000000" w:rsidRPr="00000000">
        <w:rPr>
          <w:b w:val="1"/>
          <w:bCs w:val="1"/>
          <w:rtl w:val="0"/>
        </w:rPr>
        <w:t xml:space="preserve">+14.50%</w:t>
      </w:r>
      <w:r w:rsidDel="00000000" w:rsidR="00000000" w:rsidRPr="00000000">
        <w:rPr>
          <w:rtl w:val="0"/>
        </w:rPr>
        <w:t xml:space="preserve"> (1.76 billion to 2.02 billion units), but dollar sales fell </w:t>
      </w:r>
      <w:r w:rsidDel="00000000" w:rsidR="00000000" w:rsidRPr="00000000">
        <w:rPr>
          <w:b w:val="1"/>
          <w:bCs w:val="1"/>
          <w:rtl w:val="0"/>
        </w:rPr>
        <w:t xml:space="preserve">-7.76%</w:t>
      </w:r>
      <w:r w:rsidDel="00000000" w:rsidR="00000000" w:rsidRPr="00000000">
        <w:rPr>
          <w:rtl w:val="0"/>
        </w:rPr>
        <w:t xml:space="preserve"> ($2.15B to $1.98B) as ASP dropped </w:t>
      </w:r>
      <w:r w:rsidDel="00000000" w:rsidR="00000000" w:rsidRPr="00000000">
        <w:rPr>
          <w:b w:val="1"/>
          <w:bCs w:val="1"/>
          <w:rtl w:val="0"/>
        </w:rPr>
        <w:t xml:space="preserve">-19.44%</w:t>
      </w:r>
      <w:r w:rsidDel="00000000" w:rsidR="00000000" w:rsidRPr="00000000">
        <w:rPr>
          <w:rtl w:val="0"/>
        </w:rPr>
        <w:t xml:space="preserve"> from $1.2154 to $0.9791 per unit.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Organic Avocados:</w:t>
      </w:r>
      <w:r w:rsidDel="00000000" w:rsidR="00000000" w:rsidRPr="00000000">
        <w:rPr>
          <w:rtl w:val="0"/>
        </w:rPr>
        <w:t xml:space="preserve"> Volume experienced a minor contraction of </w:t>
      </w:r>
      <w:r w:rsidDel="00000000" w:rsidR="00000000" w:rsidRPr="00000000">
        <w:rPr>
          <w:b w:val="1"/>
          <w:bCs w:val="1"/>
          <w:rtl w:val="0"/>
        </w:rPr>
        <w:t xml:space="preserve">-0.70%</w:t>
      </w:r>
      <w:r w:rsidDel="00000000" w:rsidR="00000000" w:rsidRPr="00000000">
        <w:rPr>
          <w:rtl w:val="0"/>
        </w:rPr>
        <w:t xml:space="preserve"> (105.86M to 105.12M units), while dollar sales decreased </w:t>
      </w:r>
      <w:r w:rsidDel="00000000" w:rsidR="00000000" w:rsidRPr="00000000">
        <w:rPr>
          <w:b w:val="1"/>
          <w:bCs w:val="1"/>
          <w:rtl w:val="0"/>
        </w:rPr>
        <w:t xml:space="preserve">-10.91%</w:t>
      </w:r>
      <w:r w:rsidDel="00000000" w:rsidR="00000000" w:rsidRPr="00000000">
        <w:rPr>
          <w:rtl w:val="0"/>
        </w:rPr>
        <w:t xml:space="preserve"> ($184.27M to $164.16M) as ASP decreased </w:t>
      </w:r>
      <w:r w:rsidDel="00000000" w:rsidR="00000000" w:rsidRPr="00000000">
        <w:rPr>
          <w:b w:val="1"/>
          <w:bCs w:val="1"/>
          <w:rtl w:val="0"/>
        </w:rPr>
        <w:t xml:space="preserve">-10.28%</w:t>
      </w:r>
      <w:r w:rsidDel="00000000" w:rsidR="00000000" w:rsidRPr="00000000">
        <w:rPr>
          <w:rtl w:val="0"/>
        </w:rPr>
        <w:t xml:space="preserve"> from $1.7407 to $1.5617 per unit.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Organic Price Premium:</w:t>
      </w:r>
      <w:r w:rsidDel="00000000" w:rsidR="00000000" w:rsidRPr="00000000">
        <w:rPr>
          <w:rtl w:val="0"/>
        </w:rPr>
        <w:t xml:space="preserve"> The organic price premium relative to conventional avocados expanded from </w:t>
      </w:r>
      <w:r w:rsidDel="00000000" w:rsidR="00000000" w:rsidRPr="00000000">
        <w:rPr>
          <w:b w:val="1"/>
          <w:bCs w:val="1"/>
          <w:rtl w:val="0"/>
        </w:rPr>
        <w:t xml:space="preserve">+43.22%</w:t>
      </w:r>
      <w:r w:rsidDel="00000000" w:rsidR="00000000" w:rsidRPr="00000000">
        <w:rPr>
          <w:rtl w:val="0"/>
        </w:rPr>
        <w:t xml:space="preserve"> in 2025 to </w:t>
      </w:r>
      <w:r w:rsidDel="00000000" w:rsidR="00000000" w:rsidRPr="00000000">
        <w:rPr>
          <w:b w:val="1"/>
          <w:bCs w:val="1"/>
          <w:rtl w:val="0"/>
        </w:rPr>
        <w:t xml:space="preserve">+59.50%</w:t>
      </w:r>
      <w:r w:rsidDel="00000000" w:rsidR="00000000" w:rsidRPr="00000000">
        <w:rPr>
          <w:rtl w:val="0"/>
        </w:rPr>
        <w:t xml:space="preserve"> in 2026.</w:t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yqspn99z7mou" w:id="5"/>
      <w:bookmarkEnd w:id="5"/>
      <w:r w:rsidDel="00000000" w:rsidR="00000000" w:rsidRPr="00000000">
        <w:rPr>
          <w:rtl w:val="0"/>
        </w:rPr>
        <w:t xml:space="preserve">Regional Market Breakdown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Volume growth was positive across all 8 multi-state U.S. regions, though every region experienced lower overall dollar sales due to double-digit price declines.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klzr52v4du2d" w:id="6"/>
      <w:bookmarkEnd w:id="6"/>
      <w:r w:rsidDel="00000000" w:rsidR="00000000" w:rsidRPr="00000000">
        <w:rPr>
          <w:rtl w:val="0"/>
        </w:rPr>
        <w:t xml:space="preserve">Regional Performance Table (2026 W1–32)</w:t>
      </w:r>
    </w:p>
    <w:tbl>
      <w:tblPr>
        <w:tblStyle w:val="Table1"/>
        <w:tblW w:w="31500.0" w:type="dxa"/>
        <w:jc w:val="left"/>
        <w:tblBorders>
          <w:top w:color="e2e8f0" w:space="0" w:sz="4" w:val="single"/>
          <w:left w:color="000000" w:space="0" w:sz="0" w:val="nil"/>
          <w:bottom w:color="e2e8f0" w:space="0" w:sz="4" w:val="single"/>
          <w:right w:color="000000" w:space="0" w:sz="0" w:val="nil"/>
          <w:insideH w:color="e2e8f0" w:space="0" w:sz="4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Region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2026 Volume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Volume YoY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2026 Sales ($)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Sales YoY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2025 ASP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2026 ASP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ASP YoY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Vol Share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California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336,444,055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+14.98%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$393,895,640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-6.00%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$1.4321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$1.1708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-18.25%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15.83%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Northeast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318,484,171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+13.67%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$320,809,927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-3.73%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$1.1894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$1.0073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-15.31%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14.98%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Southeast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316,632,194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+19.82%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$283,829,380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-9.79%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$1.1906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$0.8964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-24.71%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14.89%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311,728,976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+6.97%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$354,632,878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-12.95%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$1.3980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$1.1376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-18.63%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14.66%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South Central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249,782,998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+14.23%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$210,718,206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-9.77%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$1.0679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$0.8436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-21.01%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11.75%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Midsouth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238,154,520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+14.82%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$236,443,474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-4.88%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$1.1984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$0.9928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-17.16%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11.20%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Great Lakes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237,145,557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+12.56%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$234,548,272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-7.34%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$1.2015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$0.9890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-17.68%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11.16%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Plains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117,427,377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+11.32%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$107,779,531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-10.00%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$1.1353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$0.9178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-19.16%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5.52%</w:t>
            </w:r>
          </w:p>
        </w:tc>
      </w:tr>
    </w:tbl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t0p8xxum4n6w" w:id="7"/>
      <w:bookmarkEnd w:id="7"/>
      <w:r w:rsidDel="00000000" w:rsidR="00000000" w:rsidRPr="00000000">
        <w:rPr>
          <w:rtl w:val="0"/>
        </w:rPr>
        <w:t xml:space="preserve">Key Regional Highlights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 Volume Markets:</w:t>
      </w:r>
      <w:r w:rsidDel="00000000" w:rsidR="00000000" w:rsidRPr="00000000">
        <w:rPr>
          <w:rtl w:val="0"/>
        </w:rPr>
        <w:t xml:space="preserve"> California emerged as the largest volume market in 2026 at 336.4M units (+14.98% YoY), surpassing the West region.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Fastest Volume Growth:</w:t>
      </w:r>
      <w:r w:rsidDel="00000000" w:rsidR="00000000" w:rsidRPr="00000000">
        <w:rPr>
          <w:rtl w:val="0"/>
        </w:rPr>
        <w:t xml:space="preserve"> The Southeast recorded the strongest volume expansion at +19.82% YoY, driven by the sharpest regional price cut (-24.71% to $0.8964/unit).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Pricing Polarization:</w:t>
      </w:r>
      <w:r w:rsidDel="00000000" w:rsidR="00000000" w:rsidRPr="00000000">
        <w:rPr>
          <w:rtl w:val="0"/>
        </w:rPr>
        <w:t xml:space="preserve"> California maintained the highest average price in 2026 ($1.1708/unit), followed by the West ($1.1376/unit). South Central recorded the lowest average price ($0.8436/unit).</w:t>
      </w:r>
    </w:p>
    <w:p w:rsidR="00000000" w:rsidDel="00000000" w:rsidP="00000000" w:rsidRDefault="00000000" w:rsidRPr="00000000" w14:paraId="00000069">
      <w:pPr>
        <w:pStyle w:val="Heading1"/>
        <w:rPr/>
      </w:pPr>
      <w:bookmarkStart w:colFirst="0" w:colLast="0" w:name="_x2rb8reztjuw" w:id="8"/>
      <w:bookmarkEnd w:id="8"/>
      <w:r w:rsidDel="00000000" w:rsidR="00000000" w:rsidRPr="00000000">
        <w:rPr>
          <w:rtl w:val="0"/>
        </w:rPr>
        <w:t xml:space="preserve">Product Mix &amp; Packaging Trends</w:t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b07juuqrn3dg" w:id="9"/>
      <w:bookmarkEnd w:id="9"/>
      <w:r w:rsidDel="00000000" w:rsidR="00000000" w:rsidRPr="00000000">
        <w:rPr>
          <w:rtl w:val="0"/>
        </w:rPr>
        <w:t xml:space="preserve">1. Bulk PLU Segments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PLU 4046 (Small/Medium Bulk):</w:t>
      </w:r>
      <w:r w:rsidDel="00000000" w:rsidR="00000000" w:rsidRPr="00000000">
        <w:rPr>
          <w:rtl w:val="0"/>
        </w:rPr>
        <w:t xml:space="preserve"> Volume rose modest </w:t>
      </w:r>
      <w:r w:rsidDel="00000000" w:rsidR="00000000" w:rsidRPr="00000000">
        <w:rPr>
          <w:b w:val="1"/>
          <w:bCs w:val="1"/>
          <w:rtl w:val="0"/>
        </w:rPr>
        <w:t xml:space="preserve">+2.52%</w:t>
      </w:r>
      <w:r w:rsidDel="00000000" w:rsidR="00000000" w:rsidRPr="00000000">
        <w:rPr>
          <w:rtl w:val="0"/>
        </w:rPr>
        <w:t xml:space="preserve"> to 889.05M units; its share of total national volume shifted down from 46.35% in 2025 to 41.82% in 2026.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PLU 4225 (Large Bulk):</w:t>
      </w:r>
      <w:r w:rsidDel="00000000" w:rsidR="00000000" w:rsidRPr="00000000">
        <w:rPr>
          <w:rtl w:val="0"/>
        </w:rPr>
        <w:t xml:space="preserve"> Volume surged </w:t>
      </w:r>
      <w:r w:rsidDel="00000000" w:rsidR="00000000" w:rsidRPr="00000000">
        <w:rPr>
          <w:b w:val="1"/>
          <w:bCs w:val="1"/>
          <w:rtl w:val="0"/>
        </w:rPr>
        <w:t xml:space="preserve">+35.61%</w:t>
      </w:r>
      <w:r w:rsidDel="00000000" w:rsidR="00000000" w:rsidRPr="00000000">
        <w:rPr>
          <w:rtl w:val="0"/>
        </w:rPr>
        <w:t xml:space="preserve"> to 267.53M units, increasing its national volume share from 10.55% to 12.58%.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PLU 4770 (Extra Large Bulk):</w:t>
      </w:r>
      <w:r w:rsidDel="00000000" w:rsidR="00000000" w:rsidRPr="00000000">
        <w:rPr>
          <w:rtl w:val="0"/>
        </w:rPr>
        <w:t xml:space="preserve"> Volume grew </w:t>
      </w:r>
      <w:r w:rsidDel="00000000" w:rsidR="00000000" w:rsidRPr="00000000">
        <w:rPr>
          <w:b w:val="1"/>
          <w:bCs w:val="1"/>
          <w:rtl w:val="0"/>
        </w:rPr>
        <w:t xml:space="preserve">+106.58%</w:t>
      </w:r>
      <w:r w:rsidDel="00000000" w:rsidR="00000000" w:rsidRPr="00000000">
        <w:rPr>
          <w:rtl w:val="0"/>
        </w:rPr>
        <w:t xml:space="preserve"> to 49.47M units, doubling its share from 1.28% to 2.33%.</w:t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ppkpdopkf1s0" w:id="10"/>
      <w:bookmarkEnd w:id="10"/>
      <w:r w:rsidDel="00000000" w:rsidR="00000000" w:rsidRPr="00000000">
        <w:rPr>
          <w:rtl w:val="0"/>
        </w:rPr>
        <w:t xml:space="preserve">2. Bagged Avocados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Bagged Volume:</w:t>
      </w:r>
      <w:r w:rsidDel="00000000" w:rsidR="00000000" w:rsidRPr="00000000">
        <w:rPr>
          <w:rtl w:val="0"/>
        </w:rPr>
        <w:t xml:space="preserve"> Grew </w:t>
      </w:r>
      <w:r w:rsidDel="00000000" w:rsidR="00000000" w:rsidRPr="00000000">
        <w:rPr>
          <w:b w:val="1"/>
          <w:bCs w:val="1"/>
          <w:rtl w:val="0"/>
        </w:rPr>
        <w:t xml:space="preserve">+17.57%</w:t>
      </w:r>
      <w:r w:rsidDel="00000000" w:rsidR="00000000" w:rsidRPr="00000000">
        <w:rPr>
          <w:rtl w:val="0"/>
        </w:rPr>
        <w:t xml:space="preserve"> (782.32M to 919.75M units), expanding bagged share of total market volume from 41.82% to 43.27%.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Bag Size Breakdown: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Small Bagged:</w:t>
      </w:r>
      <w:r w:rsidDel="00000000" w:rsidR="00000000" w:rsidRPr="00000000">
        <w:rPr>
          <w:rtl w:val="0"/>
        </w:rPr>
        <w:t xml:space="preserve"> Volume </w:t>
      </w:r>
      <w:r w:rsidDel="00000000" w:rsidR="00000000" w:rsidRPr="00000000">
        <w:rPr>
          <w:b w:val="1"/>
          <w:bCs w:val="1"/>
          <w:rtl w:val="0"/>
        </w:rPr>
        <w:t xml:space="preserve">+11.90%</w:t>
      </w:r>
      <w:r w:rsidDel="00000000" w:rsidR="00000000" w:rsidRPr="00000000">
        <w:rPr>
          <w:rtl w:val="0"/>
        </w:rPr>
        <w:t xml:space="preserve"> YoY (676.88M to 757.43M units).</w:t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Large Bagged:</w:t>
      </w:r>
      <w:r w:rsidDel="00000000" w:rsidR="00000000" w:rsidRPr="00000000">
        <w:rPr>
          <w:rtl w:val="0"/>
        </w:rPr>
        <w:t xml:space="preserve"> Volume </w:t>
      </w:r>
      <w:r w:rsidDel="00000000" w:rsidR="00000000" w:rsidRPr="00000000">
        <w:rPr>
          <w:b w:val="1"/>
          <w:bCs w:val="1"/>
          <w:rtl w:val="0"/>
        </w:rPr>
        <w:t xml:space="preserve">+57.31%</w:t>
      </w:r>
      <w:r w:rsidDel="00000000" w:rsidR="00000000" w:rsidRPr="00000000">
        <w:rPr>
          <w:rtl w:val="0"/>
        </w:rPr>
        <w:t xml:space="preserve"> YoY (61.24M to 96.33M units).</w:t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X-Large Bagged:</w:t>
      </w:r>
      <w:r w:rsidDel="00000000" w:rsidR="00000000" w:rsidRPr="00000000">
        <w:rPr>
          <w:rtl w:val="0"/>
        </w:rPr>
        <w:t xml:space="preserve"> Volume </w:t>
      </w:r>
      <w:r w:rsidDel="00000000" w:rsidR="00000000" w:rsidRPr="00000000">
        <w:rPr>
          <w:b w:val="1"/>
          <w:bCs w:val="1"/>
          <w:rtl w:val="0"/>
        </w:rPr>
        <w:t xml:space="preserve">+215.25%</w:t>
      </w:r>
      <w:r w:rsidDel="00000000" w:rsidR="00000000" w:rsidRPr="00000000">
        <w:rPr>
          <w:rtl w:val="0"/>
        </w:rPr>
        <w:t xml:space="preserve"> YoY (6.75M to 21.27M units).</w:t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Unknown Bag Size:</w:t>
      </w:r>
      <w:r w:rsidDel="00000000" w:rsidR="00000000" w:rsidRPr="00000000">
        <w:rPr>
          <w:rtl w:val="0"/>
        </w:rPr>
        <w:t xml:space="preserve"> Volume </w:t>
      </w:r>
      <w:r w:rsidDel="00000000" w:rsidR="00000000" w:rsidRPr="00000000">
        <w:rPr>
          <w:b w:val="1"/>
          <w:bCs w:val="1"/>
          <w:rtl w:val="0"/>
        </w:rPr>
        <w:t xml:space="preserve">+19.40%</w:t>
      </w:r>
      <w:r w:rsidDel="00000000" w:rsidR="00000000" w:rsidRPr="00000000">
        <w:rPr>
          <w:rtl w:val="0"/>
        </w:rPr>
        <w:t xml:space="preserve"> YoY (37.46M to 44.72M units).</w:t>
      </w:r>
    </w:p>
    <w:p w:rsidR="00000000" w:rsidDel="00000000" w:rsidP="00000000" w:rsidRDefault="00000000" w:rsidRPr="00000000" w14:paraId="00000075">
      <w:pPr>
        <w:pStyle w:val="Heading1"/>
        <w:rPr/>
      </w:pPr>
      <w:bookmarkStart w:colFirst="0" w:colLast="0" w:name="_7mu2l7vj2os5" w:id="11"/>
      <w:bookmarkEnd w:id="11"/>
      <w:r w:rsidDel="00000000" w:rsidR="00000000" w:rsidRPr="00000000">
        <w:rPr>
          <w:rtl w:val="0"/>
        </w:rPr>
        <w:t xml:space="preserve">Key Operational Conclusions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 Elasticity Dynamics:</w:t>
      </w:r>
      <w:r w:rsidDel="00000000" w:rsidR="00000000" w:rsidRPr="00000000">
        <w:rPr>
          <w:rtl w:val="0"/>
        </w:rPr>
        <w:t xml:space="preserve"> Lower retail prices ($1.0079 vs $1.2452) successfully unlocked higher consumer unit demand (+13.64%), but volume gains were insufficient to fully offset price erosion, leading to an 8.01% decline in overall dollar sales.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Growth of Larger Sizes &amp; Pre-Packaged Bags:</w:t>
      </w:r>
      <w:r w:rsidDel="00000000" w:rsidR="00000000" w:rsidRPr="00000000">
        <w:rPr>
          <w:rtl w:val="0"/>
        </w:rPr>
        <w:t xml:space="preserve"> Consumer preferences shifted toward larger bulk fruit (PLU 4225 and PLU 4770) and pre-packaged bags (particularly Large and XL bags), which outpaced standard small bulk avocados in growth rate.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lang w:val="en"/>
      </w:rPr>
    </w:rPrDefault>
    <w:pPrDefault>
      <w:pPr>
        <w:spacing w:line="335.9999999999999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1e293b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334155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Inter" w:cs="Inter" w:eastAsia="Inter" w:hAnsi="Inter"/>
      <w:b w:val="1"/>
      <w:bCs w:val="1"/>
      <w:i w:val="0"/>
      <w:iCs w:val="0"/>
      <w:color w:val="475569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0"/>
      <w:bCs w:val="0"/>
      <w:i w:val="0"/>
      <w:iCs w:val="0"/>
      <w:color w:val="475569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18"/>
        <w:szCs w:val="18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