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900"/>
        <w:jc w:val="center"/>
      </w:pPr>
      <w:r>
        <w:rPr>
          <w:b/>
          <w:bCs/>
          <w:color w:val="1f4e5f"/>
          <w:sz w:val="50"/>
          <w:szCs w:val="50"/>
        </w:rPr>
        <w:t xml:space="preserve">Steuerliches Grundsatz-Dossier</w:t>
      </w:r>
    </w:p>
    <w:p>
      <w:pPr>
        <w:spacing w:after="100"/>
        <w:jc w:val="center"/>
      </w:pPr>
      <w:r>
        <w:rPr>
          <w:color w:val="6b7280"/>
          <w:sz w:val="28"/>
          <w:szCs w:val="28"/>
        </w:rPr>
        <w:t xml:space="preserve">Kryptoaktivitäten in Self-Custody/DeFi · Rechtsquellen im Original · dauerhafte Einordnung aller Vorgangstypen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Stand: 12. Juli 2026 · Gilt fortlaufend für alle gleichartigen Vorgänge · Live-Transaktionsdaten: automatisches On-Chain-Ledger (App-Modul „Steuer (BR)“, CSV-Export je Monat mit Tx-Hashes und PTAX) — Dossier + Monats-CSV bilden zusammen die prüfungsfertige Dokumentation</w:t>
      </w:r>
    </w:p>
    <w:p>
      <w:pPr>
        <w:spacing w:after="110" w:line="290"/>
        <w:jc w:val="center"/>
      </w:pPr>
      <w:r>
        <w:rPr>
          <w:i/>
          <w:iCs/>
        </w:rPr>
        <w:t xml:space="preserve">Dieses Dossier sammelt die maßgeblichen Primärquellen (Originaltext + Fundstelle) und ordnet ALLE wiederkehrenden Vorgangstypen der Krypto-Aktivität des Steuerpflichtigen ehrlich in drei Stufen ein: GESICHERT (klare Rechtslage), VERTRETBAR (gute Argumente, keine Gegenentscheidung bekannt), STRITTIG (offene Auslegungsfrage). Es ist eine Dokumentationshilfe, keine Rechtsberatung; die strittigen Punkte sind mit dem Steuerberater zu klären.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1f4e5f"/>
        </w:rPr>
        <w:t xml:space="preserve">Teil A — Primärquellen im Originaltext</w:t>
      </w:r>
    </w:p>
    <w:p>
      <w:pPr>
        <w:pStyle w:val="Heading2"/>
        <w:spacing w:after="110" w:before="260"/>
      </w:pPr>
      <w:r>
        <w:rPr>
          <w:color w:val="1f4e5f"/>
        </w:rPr>
        <w:t xml:space="preserve">A.1  Freigrenze R$ 35.000/Monat — Lei nº 9.250/1995, Art. 22, II</w:t>
      </w:r>
    </w:p>
    <w:p>
      <w:pPr>
        <w:spacing w:after="110" w:line="290"/>
      </w:pPr>
      <w:r>
        <w:rPr>
          <w:b/>
          <w:bCs/>
        </w:rPr>
        <w:t xml:space="preserve">Fundstelle: </w:t>
      </w:r>
      <w:hyperlink w:history="1" r:id="rIdfa_azbjqmyp7i1voc5jdw">
        <w:r>
          <w:rPr>
            <w:rStyle w:val="Hyperlink"/>
          </w:rPr>
          <w:t xml:space="preserve">https://www.planalto.gov.br/ccivil_03/leis/l9250.htm</w:t>
        </w:r>
      </w:hyperlink>
      <w:r>
        <w:t xml:space="preserve">  (Präsidialamt, konsolidierte Fassung)</w:t>
      </w:r>
    </w:p>
    <w:p>
      <w:pPr>
        <w:shd w:fill="eef2f5" w:val="clear"/>
        <w:spacing w:after="60" w:line="280"/>
        <w:ind w:left="300" w:right="300"/>
      </w:pPr>
      <w:r>
        <w:rPr>
          <w:i/>
          <w:iCs/>
          <w:sz w:val="20"/>
          <w:szCs w:val="20"/>
        </w:rPr>
        <w:t xml:space="preserve">„Art. 22. Fica isento do imposto de renda o ganho de capital auferido na alienação de bens e direitos de pequeno valor, cujo preço unitário de alienação, no mês em que esta se realizar, seja igual ou inferior a: [...] II – R$ 35.000,00 (trinta e cinco mil reais), nos demais casos. Parágrafo único. No caso de alienação de diversos bens ou direitos da mesma natureza, será considerado, para os efeitos deste artigo, o valor do conjunto dos bens alienados no mês.“</w:t>
      </w:r>
    </w:p>
    <w:p>
      <w:pPr>
        <w:spacing w:after="140" w:line="280"/>
        <w:ind w:left="300" w:right="300"/>
      </w:pPr>
      <w:r>
        <w:rPr>
          <w:color w:val="6b7280"/>
          <w:sz w:val="20"/>
          <w:szCs w:val="20"/>
        </w:rPr>
        <w:t xml:space="preserve">Übersetzung: Steuerfrei ist der Kapitalgewinn aus der Veräußerung von Gütern geringen Werts, wenn der Veräußerungspreis im Monat R$ 35.000 nicht übersteigt (Nr. II, sonstige Fälle). Einziger Absatz: Bei mehreren Gütern GLEICHER ART zählt der GESAMTWERT aller im Monat veräußerten Güter.</w:t>
      </w:r>
    </w:p>
    <w:p>
      <w:pPr>
        <w:spacing w:after="110" w:line="290"/>
      </w:pPr>
      <w:r>
        <w:rPr>
          <w:b/>
          <w:bCs/>
        </w:rPr>
        <w:t xml:space="preserve">Wichtige Vermerke: </w:t>
      </w:r>
      <w:r>
        <w:t xml:space="preserve">(1) Der Parágrafo único ist die Rechtsgrundlage der Monats-SUMMENbildung — alle Krypto-Veräußerungen eines Monats werden addiert; ein Netting (Einlage minus Entnahme) ist nicht vorgesehen. (2) Die Norm ist nach dem Auslaufen der MP nº 1.303/2025 wieder uneingeschränkt in Kraft (Vermerk in den Rechtsdatenbanken: </w:t>
      </w:r>
      <w:r>
        <w:rPr>
          <w:i/>
          <w:iCs/>
        </w:rPr>
        <w:t xml:space="preserve">„Revigorado devido à perda da eficácia da Medida Provisória nº 1.303 de 11/06/2025“</w:t>
      </w:r>
      <w:r>
        <w:t xml:space="preserve">). (3) Kryptoassets gelten als bewegliche Güter (bens móveis) — bestätigt u. a. im Perguntão IRPF der Receita Federal.</w:t>
      </w:r>
    </w:p>
    <w:p>
      <w:pPr>
        <w:pStyle w:val="Heading2"/>
        <w:spacing w:after="110" w:before="260"/>
      </w:pPr>
      <w:r>
        <w:rPr>
          <w:color w:val="1f4e5f"/>
        </w:rPr>
        <w:t xml:space="preserve">A.2  Self-Custody = KEIN Auslandsvermögen — Lei 14.754/2023 Art. 3 §3 · IN RFB 2.180/2024 Art. 9 §2 · RFB-FAQ Frage 19</w:t>
      </w:r>
    </w:p>
    <w:p>
      <w:pPr>
        <w:spacing w:after="110" w:line="290"/>
      </w:pPr>
      <w:r>
        <w:rPr>
          <w:b/>
          <w:bCs/>
        </w:rPr>
        <w:t xml:space="preserve">Fundstellen: </w:t>
      </w:r>
      <w:r>
        <w:t xml:space="preserve">Gesetz: </w:t>
      </w:r>
      <w:hyperlink w:history="1" r:id="rIdkrgxfkkxjxwnv5r_ebapf">
        <w:r>
          <w:rPr>
            <w:rStyle w:val="Hyperlink"/>
          </w:rPr>
          <w:t xml:space="preserve">planalto.gov.br/ccivil_03/_ato2023-2026/2023/lei/l14754.htm</w:t>
        </w:r>
      </w:hyperlink>
      <w:r>
        <w:t xml:space="preserve"> · Offizielle RFB-FAQ (PDF): </w:t>
      </w:r>
      <w:hyperlink w:history="1" r:id="rId1solyx9zpjm5ssajka9m1">
        <w:r>
          <w:rPr>
            <w:rStyle w:val="Hyperlink"/>
          </w:rPr>
          <w:t xml:space="preserve">gov.br/receitafederal — Perguntas e Respostas Offshores (Lei 14.754 / IN 2.180)</w:t>
        </w:r>
      </w:hyperlink>
    </w:p>
    <w:p>
      <w:pPr>
        <w:spacing w:after="110" w:line="290"/>
      </w:pPr>
      <w:r>
        <w:rPr>
          <w:b/>
          <w:bCs/>
        </w:rPr>
        <w:t xml:space="preserve">IN RFB 2.180/2024, Art. 9 §2 (Originaltext):</w:t>
      </w:r>
    </w:p>
    <w:p>
      <w:pPr>
        <w:shd w:fill="eef2f5" w:val="clear"/>
        <w:spacing w:after="60" w:line="280"/>
        <w:ind w:left="300" w:right="300"/>
      </w:pPr>
      <w:r>
        <w:rPr>
          <w:i/>
          <w:iCs/>
          <w:sz w:val="20"/>
          <w:szCs w:val="20"/>
        </w:rPr>
        <w:t xml:space="preserve">„Os ativos virtuais e arranjos financeiros com ativos virtuais serão considerados localizados no exterior, independentemente do local do emissor do ativo virtual e do arranjo financeiro com ativo virtual, quando forem custodiados ou negociados por instituições localizadas no exterior.“</w:t>
      </w:r>
    </w:p>
    <w:p>
      <w:pPr>
        <w:spacing w:after="140" w:line="280"/>
        <w:ind w:left="300" w:right="300"/>
      </w:pPr>
      <w:r>
        <w:rPr>
          <w:color w:val="6b7280"/>
          <w:sz w:val="20"/>
          <w:szCs w:val="20"/>
        </w:rPr>
        <w:t xml:space="preserve">Übersetzung: Virtuelle Assets gelten (nur dann) als im Ausland belegen, WENN sie von im Ausland ansässigen INSTITUTIONEN verwahrt oder gehandelt werden.</w:t>
      </w:r>
    </w:p>
    <w:p>
      <w:pPr>
        <w:spacing w:after="110" w:line="290"/>
      </w:pPr>
      <w:r>
        <w:rPr>
          <w:b/>
          <w:bCs/>
        </w:rPr>
        <w:t xml:space="preserve">Offizielle Auslegung der Receita Federal — FAQ Offshores, Frage 19 (Originaltext):</w:t>
      </w:r>
    </w:p>
    <w:p>
      <w:pPr>
        <w:shd w:fill="eef2f5" w:val="clear"/>
        <w:spacing w:after="60" w:line="280"/>
        <w:ind w:left="300" w:right="300"/>
      </w:pPr>
      <w:r>
        <w:rPr>
          <w:i/>
          <w:iCs/>
          <w:sz w:val="20"/>
          <w:szCs w:val="20"/>
        </w:rPr>
        <w:t xml:space="preserve">„Os ativos virtuais e os arranjos financeiros com ativos virtuais que estejam custodiados pelo próprio contribuinte residente no País, sem a participação de intermediário, não serão considerados como localizados no exterior. (Base legal: Lei nº 14.754, de 2023, art. 3º, § 3º; Instrução Normativa RFB nº 2.180, de 2024, art. 9º, § 2º)“</w:t>
      </w:r>
    </w:p>
    <w:p>
      <w:pPr>
        <w:spacing w:after="140" w:line="280"/>
        <w:ind w:left="300" w:right="300"/>
      </w:pPr>
      <w:r>
        <w:rPr>
          <w:color w:val="6b7280"/>
          <w:sz w:val="20"/>
          <w:szCs w:val="20"/>
        </w:rPr>
        <w:t xml:space="preserve">Übersetzung: Virtuelle Assets, die der im Land ansässige Steuerpflichtige SELBST verwahrt (Self-Custody), ohne Beteiligung eines Intermediärs, gelten NICHT als im Ausland belegen.</w:t>
      </w:r>
    </w:p>
    <w:p>
      <w:pPr>
        <w:spacing w:after="110" w:line="290"/>
      </w:pPr>
      <w:r>
        <w:rPr>
          <w:b/>
          <w:bCs/>
        </w:rPr>
        <w:t xml:space="preserve">Konsequenz: </w:t>
      </w:r>
      <w:r>
        <w:t xml:space="preserve">Für Self-Custody-Bestände (Hardware-Wallet, eigene Wallets) gilt das NATIONALE Ganho-de-Capital-Regime — inklusive der R$-35.000-Freigrenze aus A.1 und der Sätze 15–22,5 % (Lei 8.981/1995 Art. 21 i. d. F. der Lei 13.259/2016). Das jährliche 15-%-Auslandsregime ohne Freigrenze (Lei 14.754) ist NICHT einschlägig. Für Geschäfte über dezentrale Protokolle (DEX) ohne institutionellen Intermediär ist diese Einordnung die naheliegende, aber (mangels DeFi-Spezialnorm) nicht höchstrichterlich bestätigte Lesart — vgl. Teil B.</w:t>
      </w:r>
    </w:p>
    <w:p>
      <w:pPr>
        <w:pStyle w:val="Heading2"/>
        <w:spacing w:after="110" w:before="260"/>
      </w:pPr>
      <w:r>
        <w:rPr>
          <w:color w:val="1f4e5f"/>
        </w:rPr>
        <w:t xml:space="preserve">A.3  Krypto-zu-Krypto-Tausch = Veräußerung — Solução de Consulta COSIT nº 214/2021</w:t>
      </w:r>
    </w:p>
    <w:p>
      <w:pPr>
        <w:spacing w:after="110" w:line="290"/>
      </w:pPr>
      <w:r>
        <w:rPr>
          <w:b/>
          <w:bCs/>
        </w:rPr>
        <w:t xml:space="preserve">Fundstelle: </w:t>
      </w:r>
      <w:r>
        <w:t xml:space="preserve">SIJUT-Normenportal der Receita Federal, </w:t>
      </w:r>
      <w:hyperlink w:history="1" r:id="rId-_1brisdw__louplfhsep">
        <w:r>
          <w:rPr>
            <w:rStyle w:val="Hyperlink"/>
          </w:rPr>
          <w:t xml:space="preserve">normas.receita.fazenda.gov.br (Suche: „Solução de Consulta Cosit 214 2021“)</w:t>
        </w:r>
      </w:hyperlink>
      <w:r>
        <w:t xml:space="preserve"> — bindende Verwaltungsauslegung (efeito vinculante für die RFB).</w:t>
      </w:r>
    </w:p>
    <w:p>
      <w:pPr>
        <w:spacing w:after="110" w:line="290"/>
      </w:pPr>
      <w:r>
        <w:t xml:space="preserve">Kernaussage: Der Tausch eines Kryptoassets gegen ein anderes (</w:t>
      </w:r>
      <w:r>
        <w:rPr>
          <w:i/>
          <w:iCs/>
        </w:rPr>
        <w:t xml:space="preserve">permuta</w:t>
      </w:r>
      <w:r>
        <w:t xml:space="preserve">) ist eine Veräußerung (</w:t>
      </w:r>
      <w:r>
        <w:rPr>
          <w:i/>
          <w:iCs/>
        </w:rPr>
        <w:t xml:space="preserve">alienação</w:t>
      </w:r>
      <w:r>
        <w:t xml:space="preserve">) und damit Fato gerador des Ganho de Capital — auch ohne Umweg über Fiat-Geld. Der Gewinn bemisst sich am Marktwert des hingegebenen Assets abzüglich Anschaffungskosten. HINWEIS: Eine Gegenauffassung (permuta ohne Aufgeld erzeuge keinen Vermögenszuwachs; vgl. IBDT/Felizardo, RDTA Bd. 56/2024, sowie die STJ-Linie zur Immobilien-permuta, REsp 1.733.560/SC) ist in der Literatur vertreten, hat sich bei der RFB aber nicht durchgesetzt — sie taugt als Verteidigungsargument, nicht als Planungsgrundlage.</w:t>
      </w:r>
    </w:p>
    <w:p>
      <w:pPr>
        <w:pStyle w:val="Heading2"/>
        <w:spacing w:after="110" w:before="260"/>
      </w:pPr>
      <w:r>
        <w:rPr>
          <w:color w:val="1f4e5f"/>
        </w:rPr>
        <w:t xml:space="preserve">A.4  Meldepflicht DeCripto — IN RFB nº 2.291/2025 (ab 01.07.2026)</w:t>
      </w:r>
    </w:p>
    <w:p>
      <w:pPr>
        <w:spacing w:after="110" w:line="290"/>
      </w:pPr>
      <w:r>
        <w:rPr>
          <w:b/>
          <w:bCs/>
        </w:rPr>
        <w:t xml:space="preserve">Fundstellen: </w:t>
      </w:r>
      <w:hyperlink w:history="1" r:id="rId0kpsew66qt4uoivz3cqqc">
        <w:r>
          <w:rPr>
            <w:rStyle w:val="Hyperlink"/>
          </w:rPr>
          <w:t xml:space="preserve">gov.br/receitafederal → Criptoativos → DeCripto (Normtext, ADE Copes 2/2025)</w:t>
        </w:r>
      </w:hyperlink>
      <w:r>
        <w:t xml:space="preserve"> · </w:t>
      </w:r>
      <w:hyperlink w:history="1" r:id="rId2gc3ahr3czyylrn0pa2-k">
        <w:r>
          <w:rPr>
            <w:rStyle w:val="Hyperlink"/>
          </w:rPr>
          <w:t xml:space="preserve">Manual de Orientação do Leiaute da DeCripto v1.0 (PDF)</w:t>
        </w:r>
      </w:hyperlink>
    </w:p>
    <w:p>
      <w:pPr>
        <w:spacing w:after="110" w:line="290"/>
      </w:pPr>
      <w:r>
        <w:t xml:space="preserve">Eckpunkte für Privatpersonen: Meldepflicht ab 01.07.2026 für Monate, in denen die Summe der Operationen ohne brasilianische Prestadora </w:t>
      </w:r>
      <w:r>
        <w:rPr>
          <w:b/>
          <w:bCs/>
        </w:rPr>
        <w:t xml:space="preserve">R$ 35.000</w:t>
      </w:r>
      <w:r>
        <w:t xml:space="preserve"> übersteigt (Art. 5 §3, „isolado ou conjuntamente“). Meldepflichtige Vorgangstypen (Art. 6) umfassen u. a. Kauf/Verkauf, permuta, doação, Transfers (auch in Self-Custody), Airdrops. Abgabe über die Coleta Nacional im e-CAC; Zugang mit gov.br-Konto Stufe Prata oder Ouro (ein ICP-Brasil-Zertifikat ist NICHT zwingend). Frist: letzter Werktag des Folgemonats. Sanktion Privatperson: R$ 100 je Monat Verspätung; Berichtigung vor Beginn eines Prüfverfahrens bleibt sanktionsfrei (Art. 15). Wallet-Adressen sind nur auf ausdrückliche Anforderung (Intimação) offenzulegen (Art. 17). WICHTIG: Die DeCripto ist eine reine MELDEpflicht — sie erzeugt selbst keine Steuer (Art. 16: Besteuerung folgt der spezifischen Gesetzgebung).</w:t>
      </w:r>
    </w:p>
    <w:p>
      <w:pPr>
        <w:pStyle w:val="Heading2"/>
        <w:spacing w:after="110" w:before="260"/>
      </w:pPr>
      <w:r>
        <w:rPr>
          <w:color w:val="1f4e5f"/>
        </w:rPr>
        <w:t xml:space="preserve">A.5  Veräußerungswert &amp; Behörden-Schätzung — RIR/2018 (Decreto 9.580/2018), Art. 134–135</w:t>
      </w:r>
    </w:p>
    <w:p>
      <w:pPr>
        <w:spacing w:after="110" w:line="290"/>
      </w:pPr>
      <w:r>
        <w:rPr>
          <w:b/>
          <w:bCs/>
        </w:rPr>
        <w:t xml:space="preserve">Fundstelle: </w:t>
      </w:r>
      <w:hyperlink w:history="1" r:id="rIdol58qh68x3twalzl61nr5">
        <w:r>
          <w:rPr>
            <w:rStyle w:val="Hyperlink"/>
          </w:rPr>
          <w:t xml:space="preserve">planalto.gov.br/ccivil_03/_ato2015-2018/2018/decreto/D9580.htm</w:t>
        </w:r>
      </w:hyperlink>
    </w:p>
    <w:p>
      <w:pPr>
        <w:spacing w:after="110" w:line="290"/>
      </w:pPr>
      <w:r>
        <w:t xml:space="preserve">Art. 134: Veräußerungswert ist der </w:t>
      </w:r>
      <w:r>
        <w:rPr>
          <w:i/>
          <w:iCs/>
        </w:rPr>
        <w:t xml:space="preserve">„preço efetivo da operação“</w:t>
      </w:r>
      <w:r>
        <w:t xml:space="preserve"> (tatsächlich vereinbarter Preis) bzw. bei nicht in Geld ausgedrückten Geschäften der Marktwert. Art. 135: Die Behörde DARF den Wert schätzen (arbitrar), wenn der erklärte Preis </w:t>
      </w:r>
      <w:r>
        <w:rPr>
          <w:i/>
          <w:iCs/>
        </w:rPr>
        <w:t xml:space="preserve">„notoriamente diferente do de mercado“</w:t>
      </w:r>
      <w:r>
        <w:t xml:space="preserve"> ist — also offenkundig marktfern. Konsequenz für illiquide Token: Der vereinbarte Preis trägt, solange er ökonomisch begründet und dokumentiert ist (Pool-Tiefe, Preis-Impact-Simulation, realisierbarer Erlös). Genau diese Dokumentation liegt für die Juli-Vorgänge vor (On-Chain-Daten, Impact-Rechner, Pool-Reserven).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1f4e5f"/>
        </w:rPr>
        <w:t xml:space="preserve">Teil B — Dauerhafte Einordnung der Vorgangstypen (Dreistufung)</w:t>
      </w:r>
    </w:p>
    <w:p>
      <w:pPr>
        <w:spacing w:after="110" w:line="290"/>
      </w:pPr>
      <w:r>
        <w:t xml:space="preserve">Diese Einordnung gilt für JEDEN Vorgang des jeweiligen Typs — vergangene wie künftige. Die konkreten Einzelwerte (Datum, Menge, USD, PTAX, BRL, Tx-Hash) liefert das automatische On-Chain-Ledger, das alle Wallets des Steuerpflichtigen auf beiden Chains fortlaufend erfasst; jede Ledger-Zeile verweist auf den zugehörigen Abschnitt dieses Dossiers (§Dossier …). Bewertung stets zum PTAX-Verkaufskurs des Operationstags.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200"/>
        <w:gridCol w:w="1700"/>
      </w:tblGrid>
      <w:tr>
        <w:tc>
          <w:tcPr>
            <w:tcW w:type="dxa" w:w="2400"/>
            <w:shd w:fill="e8ee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Vorgangstyp</w:t>
            </w:r>
          </w:p>
        </w:tc>
        <w:tc>
          <w:tcPr>
            <w:tcW w:type="dxa" w:w="2900"/>
            <w:shd w:fill="e8ee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Steuerliche Einordnung</w:t>
            </w:r>
          </w:p>
        </w:tc>
        <w:tc>
          <w:tcPr>
            <w:tcW w:type="dxa" w:w="2200"/>
            <w:shd w:fill="e8ee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Rechtsbasis</w:t>
            </w:r>
          </w:p>
        </w:tc>
        <w:tc>
          <w:tcPr>
            <w:tcW w:type="dxa" w:w="1700"/>
            <w:shd w:fill="e8ee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Market-Verkauf auf DEX · LP-Fills/Collect-Erlöse (Token→USDC/ETH)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Veräußerung (alienação); Erlös zählt voll in die Monats-Summe der R$-35.000-Grenze. Gewinn = Erlös − Anschaffungskosten.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22 Lei 9.250/95; SC COSIT 214/2021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GESICHERT — zählt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OTC-Verkauf (privater Direktverkauf, Preisfindung über dokumentierten DEX-Impact-Preis)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Veräußerung zum tatsächlich vereinbarten Preis (Art. 134 RIR). Schutz gegen Arbitramento (Art. 135): Preisfindungs-Dokumentation (Pool-Tiefe, Impact-Simulation) liegt jedem Deal bei. Erlös in USDC: der spätere USDC-Verkauf ist eine eigene, zweite Veräußerung.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RIR/2018 Art. 134–135; SC COSIT 214/2021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GESICHERT — zählt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Permuta mit Person (Token gegen Token, z. B. stBURN↔BURN mit Community-Mitglied)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Krypto-zu-Krypto-Tausch = Veräußerung des hingegebenen Tokens zum Marktwert; zählt voll zur Grenze. Erhaltener Token: Anschaffung zum Tauschwert.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 COSIT 214/2021 (bindend)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GESICHERT — zählt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LP-Einlage / LP-Entnahme (Token ↔ konzentrierte Liquiditätsposition)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Lesart 1 (streng): je eigene permuta, zählt je voll (Doppelzählungsrisiko). Lesart 2 (wirtschaftlich): Positionsbegründung/-auflösung ohne Tausch gegen ein anderes Asset, zählt nicht. Keine RFB-Spezialnorm; Gegenauffassung IBDT/STJ dokumentiert.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analog SC COSIT 214/2021 (pro) vs. IBDT RDTA 56/2024, STJ REsp 1.733.560/SC (contra)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STRITTIG (L1-Spalte im Ledger)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Staking-Hin-/Rücktausch über Protokoll-Kontrakt (BURN↔stBURN)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Wie LP-Frage: Tausch mit einem Kontrakt ohne Drittpartei — strenge Lesart permuta, wirtschaftliche Lesart bloße Formänderung derselben Position. Im Ledger als L1 (strittig) ausgewiesen.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analog SC COSIT 214/2021; SC COSIT 86/2024 u. 184/2024 (cessão)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STRITTIG (L1)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Token-Burn (Senden an 0x…dEaD)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Keine Veräußerung: kein Erwerber, kein Entgelt, keine Gegenleistung — Vernichtung eigenen Vermögens. Kein Fato gerador; keine Verlustverrechnung (bewegl. Gut).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Umkehrschluss Art. 134 RIR/2018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VERTRETBAR (stark) — neutral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Airdrop / unentgeltlicher Token-Erhalt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Herrschende Praxis: Anschaffung zu Kosten null; Besteuerung erst bei späterer Veräußerung (dann voller Erlös als Gewinn). DeCripto-meldepflichtig bei Schwellenüberschreitung.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Verwaltungspraxis; IN 2.291/2025 Art. 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VERTRETBAR — neutral bei Zufluss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Interne Transfers (zwischen eigenen Wallets, inkl. Hardware-Wallet)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Kein Rechtsträgerwechsel, kein Fato gerador. In DeCripto ggf. als transferência meldbar.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allg. Grundsätze; IN 2.291/2025 Art. 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GESICHERT — neutral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Erhaltene Geldgeschenke (freiwillige Zuwendungen der Community)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Doação recebida: keine Einkommensteuer (ITCMD-Materie); ITCMD Pernambuco erst ab R$ 80.000 je Schenker/Jahr. Zurücküberwiesene Beträge: neutral (Belegpaar Hin/Rück).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LC 563/2025 (PE), Anexo 2 Art. 8, III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GESICHERT — neutral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Unentgeltliche Token-Beiträge an das Projekt (z. B. Speisung eines Community-Airdrops)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Zuwendung zum Stichtagswert der Übertragung (dokumentierter Marktkurs desselben Tags); spätere Kursentwicklung unbeachtlich. Bei illiquiden Token ist der realisierbare Wert maßgeblich dokumentiert (Pool-Tiefe, Impact).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RIR/2018 Art. 134/135; LC 563/2025 (PE)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GESICHERT / Bewertung belegt</w:t>
            </w:r>
          </w:p>
        </w:tc>
      </w:tr>
    </w:tbl>
    <w:p>
      <w:pPr>
        <w:spacing w:after="110" w:line="290"/>
      </w:pPr>
    </w:p>
    <w:p>
      <w:pPr>
        <w:pStyle w:val="Heading2"/>
        <w:spacing w:after="110" w:before="260"/>
      </w:pPr>
      <w:r>
        <w:rPr>
          <w:color w:val="1f4e5f"/>
        </w:rPr>
        <w:t xml:space="preserve">B.1  Mechanik der R$-35.000-Grenze (dauerhaft)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Gezählt wird je Kalendermonat die SUMME der Veräußerungswerte aller Krypto-Vorgänge (Parágrafo único, Art. 22 Lei 9.250/95); KEIN Netting, KEINE Verlustverrechnung zwischen Vorgängen.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Das Ledger weist zwei Spalten aus: L2 = gesicherte Veräußerungen (Verkäufe, Fills, OTC, Personen-Permuta); L1 = zusätzlich die strittigen LP-/Staking-Bewegungen. Liegt bereits L2 über R$ 35.000, besteht Zahl- und Meldepflicht unabhängig von der Streitfrage.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Bei Überschreitung: DARF Código 4600 (15 % auf den Gewinn, GCAP-Programm) UND DeCripto-Meldung, beides bis zum letzten Werktag des Folgemonats. Unterhalb der Grenze: steuerfrei; DeCripto nur bei Überschreiten der Melde-Schwelle (ebenfalls R$ 35.000 Operationsvolumen).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Vorgänge vor Beginn der Steuerresidenz (12.09.2025) zählen nicht; sie dokumentieren ausschließlich Anschaffungskosten.</w:t>
      </w:r>
    </w:p>
    <w:p>
      <w:pPr>
        <w:pStyle w:val="Heading2"/>
        <w:spacing w:after="110" w:before="260"/>
      </w:pPr>
      <w:r>
        <w:rPr>
          <w:color w:val="1f4e5f"/>
        </w:rPr>
        <w:t xml:space="preserve">B.2  Offene Fragen an den Contador (Entscheidungsbedarf)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Zählen LP-Einlagen/-Entnahmen und Staking-Wraps als je eigene permuta (Lesart 1) oder nicht (Lesart 2)? — entscheidet in Monaten nahe der Grenze über die Steuerpflicht.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Bestätigung, dass Burns (Senden an 0x…dEaD ohne Gegenleistung) weder Veräußerung noch meldepflichtige Operation sind, sowie der Behandlung erhaltener Kleingeschenke als doação recebida (IR-frei).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Bewertungsmethode für illiquide Token (nominaler Kurs × Menge vs. dokumentierter realisierbarer Wert) — relevant für doação-Wert und künftige OTC-Geschäfte (Art. 135 RIR/2018).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Praktische Begleitung der ersten DeCripto-Abgabe (Coleta Nacional, Kategorisierung der Vorgangstypen laut Manual v1.0).</w:t>
      </w:r>
    </w:p>
    <w:p>
      <w:pPr>
        <w:spacing w:before="200"/>
      </w:pPr>
      <w:r>
        <w:rPr>
          <w:i/>
          <w:iCs/>
        </w:rPr>
        <w:t xml:space="preserve">Anlagen zur Dokumentation: On-Chain-Transaktionsliste Juli 2026 (Hashes, Zeitstempel), Zahlungs-Screenshots inkl. Rücküberweisungen, Pool-Zustands- und Impact-Dokumentation (Reserven, simulierte Erlöse), Portfolio-Export (Kostenbasis), PTAX-Kurse der Operationstage.</w:t>
      </w:r>
    </w:p>
    <w:p>
      <w:pPr>
        <w:spacing w:after="110" w:line="290"/>
      </w:pPr>
      <w:r>
        <w:rPr>
          <w:i/>
          <w:iCs/>
        </w:rPr>
        <w:t xml:space="preserve">Erstellt auf Basis der oben verlinkten Primärquellen (Abruf 12.07.2026) sowie zweier unabhängiger Rechercheläufe. Keine Rechtsberatung.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_azbjqmyp7i1voc5jdw" Type="http://schemas.openxmlformats.org/officeDocument/2006/relationships/hyperlink" Target="https://www.planalto.gov.br/ccivil_03/leis/l9250.htm" TargetMode="External"/><Relationship Id="rIdkrgxfkkxjxwnv5r_ebapf" Type="http://schemas.openxmlformats.org/officeDocument/2006/relationships/hyperlink" Target="https://www.planalto.gov.br/ccivil_03/_ato2023-2026/2023/lei/l14754.htm" TargetMode="External"/><Relationship Id="rId1solyx9zpjm5ssajka9m1" Type="http://schemas.openxmlformats.org/officeDocument/2006/relationships/hyperlink" Target="https://www.gov.br/receitafederal/pt-br/assuntos/noticias/2024/abril/receita-federal-e-secretaria-da-reforma-tributaria-lancam-atualizacao-do-perguntas-e-respostas-sobre-tributacao-de-rendimentos-no-exterior/perguntas-e-respostas-offshores-lei-14-754-e-in-rfb-2-180.pdf" TargetMode="External"/><Relationship Id="rId-_1brisdw__louplfhsep" Type="http://schemas.openxmlformats.org/officeDocument/2006/relationships/hyperlink" Target="https://normas.receita.fazenda.gov.br/sijut2consulta/consulta.action" TargetMode="External"/><Relationship Id="rId0kpsew66qt4uoivz3cqqc" Type="http://schemas.openxmlformats.org/officeDocument/2006/relationships/hyperlink" Target="https://www.gov.br/receitafederal/pt-br/assuntos/orientacao-tributaria/declaracoes-e-demonstrativos/criptoativos/decripto" TargetMode="External"/><Relationship Id="rId2gc3ahr3czyylrn0pa2-k" Type="http://schemas.openxmlformats.org/officeDocument/2006/relationships/hyperlink" Target="https://www.gov.br/receitafederal/pt-br/centrais-de-conteudo/publicacoes/manuais/manual-orientacao-leiaute-criptoativos/manual-de-orientacao-do-leiaute-da-decripto-v1.pdf" TargetMode="External"/><Relationship Id="rIdol58qh68x3twalzl61nr5" Type="http://schemas.openxmlformats.org/officeDocument/2006/relationships/hyperlink" Target="https://www.planalto.gov.br/ccivil_03/_ato2015-2018/2018/decreto/D9580.ht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2026-07-13T01:08:23.239Z</dcterms:created>
  <dcterms:modified xsi:type="dcterms:W3CDTF">2026-07-13T01:08:23.257Z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