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36" w:rsidRDefault="00312052" w:rsidP="00312052">
      <w:pPr>
        <w:jc w:val="right"/>
      </w:pPr>
      <w:bookmarkStart w:id="0" w:name="_GoBack"/>
      <w:bookmarkEnd w:id="0"/>
      <w:r>
        <w:t xml:space="preserve">Cameron Grant </w:t>
      </w:r>
    </w:p>
    <w:p w:rsidR="00312052" w:rsidRDefault="00312052" w:rsidP="00312052">
      <w:pPr>
        <w:jc w:val="right"/>
      </w:pPr>
      <w:r>
        <w:t>Legal Argument Draft</w:t>
      </w:r>
    </w:p>
    <w:p w:rsidR="00312052" w:rsidRDefault="00312052" w:rsidP="00312052">
      <w:pPr>
        <w:jc w:val="right"/>
      </w:pPr>
      <w:r>
        <w:t xml:space="preserve">Philosophy 455 </w:t>
      </w:r>
    </w:p>
    <w:p w:rsidR="00312052" w:rsidRDefault="00312052" w:rsidP="00312052">
      <w:pPr>
        <w:jc w:val="right"/>
      </w:pPr>
    </w:p>
    <w:p w:rsidR="00312052" w:rsidRPr="00312052" w:rsidRDefault="00EB0F71" w:rsidP="00EB0F71">
      <w:pPr>
        <w:pStyle w:val="Title"/>
        <w:jc w:val="center"/>
      </w:pPr>
      <w:r>
        <w:t xml:space="preserve">Final Draft Legal Brief </w:t>
      </w:r>
    </w:p>
    <w:p w:rsidR="00312052" w:rsidRPr="00312052" w:rsidRDefault="00312052" w:rsidP="00312052">
      <w:pPr>
        <w:pStyle w:val="Heading2"/>
        <w:rPr>
          <w:rFonts w:ascii="Times New Roman" w:hAnsi="Times New Roman" w:cs="Times New Roman"/>
          <w:sz w:val="40"/>
          <w:szCs w:val="40"/>
        </w:rPr>
      </w:pPr>
      <w:r w:rsidRPr="00312052">
        <w:rPr>
          <w:rFonts w:ascii="Times New Roman" w:hAnsi="Times New Roman" w:cs="Times New Roman"/>
          <w:sz w:val="40"/>
          <w:szCs w:val="40"/>
        </w:rPr>
        <w:t>Contents</w:t>
      </w:r>
    </w:p>
    <w:p w:rsidR="00312052" w:rsidRDefault="00183E26" w:rsidP="00312052">
      <w:r>
        <w:t xml:space="preserve">California Penal Code </w:t>
      </w:r>
      <w:proofErr w:type="gramStart"/>
      <w:r w:rsidR="00312052">
        <w:t>………………………………………………</w:t>
      </w:r>
      <w:r>
        <w:t>...</w:t>
      </w:r>
      <w:r w:rsidR="00312052">
        <w:t>…………………………</w:t>
      </w:r>
      <w:proofErr w:type="gramEnd"/>
      <w:r w:rsidR="00312052">
        <w:t>..1</w:t>
      </w:r>
    </w:p>
    <w:p w:rsidR="00312052" w:rsidRDefault="00183E26" w:rsidP="00312052">
      <w:r>
        <w:t xml:space="preserve">Facts of the </w:t>
      </w:r>
      <w:proofErr w:type="gramStart"/>
      <w:r>
        <w:t xml:space="preserve">Case </w:t>
      </w:r>
      <w:r w:rsidR="000A7A74">
        <w:t>.</w:t>
      </w:r>
      <w:proofErr w:type="gramEnd"/>
      <w:r w:rsidR="00312052">
        <w:t>……………………………………………………</w:t>
      </w:r>
      <w:r>
        <w:t>……</w:t>
      </w:r>
      <w:r w:rsidR="00312052">
        <w:t>………………………2</w:t>
      </w:r>
    </w:p>
    <w:p w:rsidR="00183E26" w:rsidRDefault="00183E26" w:rsidP="00312052">
      <w:r>
        <w:t>Trial Court Hearing………………………………………………………………………………..2</w:t>
      </w:r>
    </w:p>
    <w:p w:rsidR="00183E26" w:rsidRDefault="00183E26" w:rsidP="00312052">
      <w:r>
        <w:t>Statement of Conclusion</w:t>
      </w:r>
      <w:proofErr w:type="gramStart"/>
      <w:r w:rsidR="00093A7A">
        <w:t>…………………………………...……………………………………...</w:t>
      </w:r>
      <w:r>
        <w:t>3</w:t>
      </w:r>
      <w:proofErr w:type="gramEnd"/>
    </w:p>
    <w:p w:rsidR="00312052" w:rsidRDefault="00312052" w:rsidP="00312052">
      <w:r>
        <w:tab/>
      </w:r>
      <w:proofErr w:type="spellStart"/>
      <w:r>
        <w:t>Support</w:t>
      </w:r>
      <w:proofErr w:type="gramStart"/>
      <w:r w:rsidR="000A7A74">
        <w:t>:Intent</w:t>
      </w:r>
      <w:proofErr w:type="spellEnd"/>
      <w:proofErr w:type="gramEnd"/>
      <w:r w:rsidR="000A7A74">
        <w:t>………..………...…………………………………….……………………</w:t>
      </w:r>
      <w:r w:rsidR="00093A7A">
        <w:t>4</w:t>
      </w:r>
    </w:p>
    <w:p w:rsidR="00312052" w:rsidRDefault="00FF0068" w:rsidP="00312052">
      <w:r>
        <w:tab/>
      </w:r>
      <w:proofErr w:type="spellStart"/>
      <w:r>
        <w:t>Support</w:t>
      </w:r>
      <w:proofErr w:type="gramStart"/>
      <w:r>
        <w:t>:Legal</w:t>
      </w:r>
      <w:proofErr w:type="spellEnd"/>
      <w:proofErr w:type="gramEnd"/>
      <w:r>
        <w:t xml:space="preserve"> Precedent...</w:t>
      </w:r>
      <w:r w:rsidR="00093A7A">
        <w:t>………………..………………………….………………….4-5</w:t>
      </w:r>
      <w:r w:rsidR="000A7A74">
        <w:t xml:space="preserve"> </w:t>
      </w:r>
    </w:p>
    <w:p w:rsidR="000A7A74" w:rsidRDefault="000A7A74" w:rsidP="00312052">
      <w:r>
        <w:t>Rebuttal</w:t>
      </w:r>
      <w:r w:rsidR="00093A7A">
        <w:t>/Conclusion….</w:t>
      </w:r>
      <w:r>
        <w:t>……………………………………………………………………………5</w:t>
      </w:r>
    </w:p>
    <w:p w:rsidR="00EB0F71" w:rsidRDefault="00EB0F71" w:rsidP="00312052">
      <w:r>
        <w:t>References…………………………………………………………………………………………6</w:t>
      </w:r>
    </w:p>
    <w:p w:rsidR="000A7A74" w:rsidRDefault="000A7A74" w:rsidP="000A7A74">
      <w:pPr>
        <w:pStyle w:val="Heading2"/>
      </w:pPr>
    </w:p>
    <w:p w:rsidR="000A7A74" w:rsidRPr="000A7A74" w:rsidRDefault="00183E26" w:rsidP="000A7A74">
      <w:pPr>
        <w:pStyle w:val="Heading2"/>
      </w:pPr>
      <w:r>
        <w:t xml:space="preserve">California Penal Code </w:t>
      </w:r>
    </w:p>
    <w:p w:rsidR="000A7A74" w:rsidRPr="00B06F1B" w:rsidRDefault="000A7A74" w:rsidP="0009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rsidRPr="000A7A74">
        <w:rPr>
          <w:rFonts w:eastAsia="Times New Roman" w:cs="Times New Roman"/>
          <w:szCs w:val="24"/>
        </w:rPr>
        <w:t>California defines rape as:</w:t>
      </w:r>
      <w:r w:rsidR="00B06F1B">
        <w:rPr>
          <w:rFonts w:eastAsia="Times New Roman" w:cs="Times New Roman"/>
          <w:szCs w:val="24"/>
        </w:rPr>
        <w:t xml:space="preserve"> </w:t>
      </w:r>
      <w:hyperlink r:id="rId6" w:history="1">
        <w:r w:rsidR="00B06F1B" w:rsidRPr="00B06F1B">
          <w:rPr>
            <w:rStyle w:val="Hyperlink"/>
            <w:color w:val="auto"/>
          </w:rPr>
          <w:t>California Penal Code Section 261 PC</w:t>
        </w:r>
      </w:hyperlink>
    </w:p>
    <w:p w:rsidR="000A7A74" w:rsidRPr="000A7A74" w:rsidRDefault="000A7A74" w:rsidP="0009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rPr>
      </w:pPr>
      <w:r w:rsidRPr="000A7A74">
        <w:rPr>
          <w:rFonts w:eastAsia="Times New Roman" w:cs="Times New Roman"/>
          <w:szCs w:val="24"/>
        </w:rPr>
        <w:t>Rape is an act of sexual intercourse accomplished with a</w:t>
      </w:r>
      <w:r>
        <w:rPr>
          <w:rFonts w:eastAsia="Times New Roman" w:cs="Times New Roman"/>
          <w:szCs w:val="24"/>
        </w:rPr>
        <w:t xml:space="preserve"> </w:t>
      </w:r>
      <w:r w:rsidRPr="000A7A74">
        <w:rPr>
          <w:rFonts w:eastAsia="Times New Roman" w:cs="Times New Roman"/>
          <w:szCs w:val="24"/>
        </w:rPr>
        <w:t>person not the spouse of the perpetrator, under any of the following</w:t>
      </w:r>
      <w:r>
        <w:rPr>
          <w:rFonts w:eastAsia="Times New Roman" w:cs="Times New Roman"/>
          <w:szCs w:val="24"/>
        </w:rPr>
        <w:t xml:space="preserve"> </w:t>
      </w:r>
      <w:r w:rsidRPr="000A7A74">
        <w:rPr>
          <w:rFonts w:eastAsia="Times New Roman" w:cs="Times New Roman"/>
          <w:szCs w:val="24"/>
        </w:rPr>
        <w:t>circumstances:</w:t>
      </w:r>
    </w:p>
    <w:p w:rsidR="000A7A74" w:rsidRPr="000A7A74" w:rsidRDefault="000A7A74" w:rsidP="0009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rPr>
      </w:pPr>
      <w:r w:rsidRPr="000A7A74">
        <w:rPr>
          <w:rFonts w:eastAsia="Times New Roman" w:cs="Times New Roman"/>
          <w:szCs w:val="24"/>
        </w:rPr>
        <w:t>(1) Where a person is incapable, because of a mental disorder or</w:t>
      </w:r>
      <w:r>
        <w:rPr>
          <w:rFonts w:eastAsia="Times New Roman" w:cs="Times New Roman"/>
          <w:szCs w:val="24"/>
        </w:rPr>
        <w:t xml:space="preserve"> </w:t>
      </w:r>
      <w:r w:rsidRPr="000A7A74">
        <w:rPr>
          <w:rFonts w:eastAsia="Times New Roman" w:cs="Times New Roman"/>
          <w:szCs w:val="24"/>
        </w:rPr>
        <w:t>developmental or physical disability, of giving legal consent, and</w:t>
      </w:r>
      <w:r>
        <w:rPr>
          <w:rFonts w:eastAsia="Times New Roman" w:cs="Times New Roman"/>
          <w:szCs w:val="24"/>
        </w:rPr>
        <w:t xml:space="preserve"> </w:t>
      </w:r>
      <w:r w:rsidRPr="000A7A74">
        <w:rPr>
          <w:rFonts w:eastAsia="Times New Roman" w:cs="Times New Roman"/>
          <w:szCs w:val="24"/>
        </w:rPr>
        <w:t>this is known or re</w:t>
      </w:r>
      <w:r>
        <w:rPr>
          <w:rFonts w:eastAsia="Times New Roman" w:cs="Times New Roman"/>
          <w:szCs w:val="24"/>
        </w:rPr>
        <w:t xml:space="preserve">asonably should be known to the </w:t>
      </w:r>
      <w:r w:rsidRPr="000A7A74">
        <w:rPr>
          <w:rFonts w:eastAsia="Times New Roman" w:cs="Times New Roman"/>
          <w:szCs w:val="24"/>
        </w:rPr>
        <w:t>person committing</w:t>
      </w:r>
      <w:r>
        <w:rPr>
          <w:rFonts w:eastAsia="Times New Roman" w:cs="Times New Roman"/>
          <w:szCs w:val="24"/>
        </w:rPr>
        <w:t xml:space="preserve"> </w:t>
      </w:r>
      <w:r w:rsidRPr="000A7A74">
        <w:rPr>
          <w:rFonts w:eastAsia="Times New Roman" w:cs="Times New Roman"/>
          <w:szCs w:val="24"/>
        </w:rPr>
        <w:t>the act.</w:t>
      </w:r>
    </w:p>
    <w:p w:rsidR="000A7A74" w:rsidRPr="000A7A74" w:rsidRDefault="000A7A74" w:rsidP="00093A7A">
      <w:pPr>
        <w:pStyle w:val="HTMLPreformatted"/>
        <w:spacing w:line="360" w:lineRule="auto"/>
        <w:rPr>
          <w:rFonts w:ascii="Times New Roman" w:hAnsi="Times New Roman" w:cs="Times New Roman"/>
          <w:sz w:val="24"/>
          <w:szCs w:val="24"/>
        </w:rPr>
      </w:pPr>
      <w:r w:rsidRPr="000A7A74">
        <w:rPr>
          <w:rFonts w:ascii="Times New Roman" w:hAnsi="Times New Roman" w:cs="Times New Roman"/>
          <w:sz w:val="24"/>
          <w:szCs w:val="24"/>
        </w:rPr>
        <w:t>(2) Where it is accomplished against a person's will by means of</w:t>
      </w:r>
      <w:r>
        <w:rPr>
          <w:rFonts w:ascii="Times New Roman" w:hAnsi="Times New Roman" w:cs="Times New Roman"/>
          <w:sz w:val="24"/>
          <w:szCs w:val="24"/>
        </w:rPr>
        <w:t xml:space="preserve"> </w:t>
      </w:r>
      <w:r w:rsidRPr="000A7A74">
        <w:rPr>
          <w:rFonts w:ascii="Times New Roman" w:hAnsi="Times New Roman" w:cs="Times New Roman"/>
          <w:sz w:val="24"/>
          <w:szCs w:val="24"/>
        </w:rPr>
        <w:t>force, violence, duress, menace, or fear of imm</w:t>
      </w:r>
      <w:r>
        <w:rPr>
          <w:rFonts w:ascii="Times New Roman" w:hAnsi="Times New Roman" w:cs="Times New Roman"/>
          <w:sz w:val="24"/>
          <w:szCs w:val="24"/>
        </w:rPr>
        <w:t xml:space="preserve">ediate and unlawful </w:t>
      </w:r>
      <w:r w:rsidRPr="000A7A74">
        <w:rPr>
          <w:rFonts w:ascii="Times New Roman" w:hAnsi="Times New Roman" w:cs="Times New Roman"/>
          <w:sz w:val="24"/>
          <w:szCs w:val="24"/>
        </w:rPr>
        <w:t>bodily injury on the person or another.</w:t>
      </w:r>
    </w:p>
    <w:p w:rsidR="000A7A74" w:rsidRPr="000A7A74" w:rsidRDefault="000A7A74" w:rsidP="00093A7A">
      <w:pPr>
        <w:pStyle w:val="HTMLPreformatted"/>
        <w:spacing w:line="360" w:lineRule="auto"/>
        <w:rPr>
          <w:rFonts w:ascii="Times New Roman" w:hAnsi="Times New Roman" w:cs="Times New Roman"/>
          <w:sz w:val="24"/>
          <w:szCs w:val="24"/>
        </w:rPr>
      </w:pPr>
      <w:r w:rsidRPr="000A7A74">
        <w:rPr>
          <w:rFonts w:ascii="Times New Roman" w:hAnsi="Times New Roman" w:cs="Times New Roman"/>
          <w:sz w:val="24"/>
          <w:szCs w:val="24"/>
        </w:rPr>
        <w:t>(3) Where a person is prevented fro</w:t>
      </w:r>
      <w:r>
        <w:rPr>
          <w:rFonts w:ascii="Times New Roman" w:hAnsi="Times New Roman" w:cs="Times New Roman"/>
          <w:sz w:val="24"/>
          <w:szCs w:val="24"/>
        </w:rPr>
        <w:t xml:space="preserve">m resisting by any intoxicating </w:t>
      </w:r>
      <w:r w:rsidRPr="000A7A74">
        <w:rPr>
          <w:rFonts w:ascii="Times New Roman" w:hAnsi="Times New Roman" w:cs="Times New Roman"/>
          <w:sz w:val="24"/>
          <w:szCs w:val="24"/>
        </w:rPr>
        <w:t>or anesthetic substance, or any</w:t>
      </w:r>
      <w:r>
        <w:rPr>
          <w:rFonts w:ascii="Times New Roman" w:hAnsi="Times New Roman" w:cs="Times New Roman"/>
          <w:sz w:val="24"/>
          <w:szCs w:val="24"/>
        </w:rPr>
        <w:t xml:space="preserve"> controlled substance, and this </w:t>
      </w:r>
      <w:r w:rsidRPr="000A7A74">
        <w:rPr>
          <w:rFonts w:ascii="Times New Roman" w:hAnsi="Times New Roman" w:cs="Times New Roman"/>
          <w:sz w:val="24"/>
          <w:szCs w:val="24"/>
        </w:rPr>
        <w:t>condition was known, or reasonably should have been known by th</w:t>
      </w:r>
      <w:r>
        <w:rPr>
          <w:rFonts w:ascii="Times New Roman" w:hAnsi="Times New Roman" w:cs="Times New Roman"/>
          <w:sz w:val="24"/>
          <w:szCs w:val="24"/>
        </w:rPr>
        <w:t xml:space="preserve">e </w:t>
      </w:r>
      <w:r w:rsidRPr="000A7A74">
        <w:rPr>
          <w:rFonts w:ascii="Times New Roman" w:hAnsi="Times New Roman" w:cs="Times New Roman"/>
          <w:sz w:val="24"/>
          <w:szCs w:val="24"/>
        </w:rPr>
        <w:t>accused.</w:t>
      </w:r>
    </w:p>
    <w:p w:rsidR="000A7A74" w:rsidRDefault="000A7A74" w:rsidP="00093A7A">
      <w:pPr>
        <w:pStyle w:val="HTMLPreformatted"/>
        <w:spacing w:line="360" w:lineRule="auto"/>
        <w:rPr>
          <w:rFonts w:ascii="Times New Roman" w:hAnsi="Times New Roman" w:cs="Times New Roman"/>
          <w:sz w:val="24"/>
          <w:szCs w:val="24"/>
        </w:rPr>
      </w:pPr>
      <w:r w:rsidRPr="000A7A74">
        <w:rPr>
          <w:rFonts w:ascii="Times New Roman" w:hAnsi="Times New Roman" w:cs="Times New Roman"/>
          <w:sz w:val="24"/>
          <w:szCs w:val="24"/>
        </w:rPr>
        <w:lastRenderedPageBreak/>
        <w:t>(4) Where a person is at the time u</w:t>
      </w:r>
      <w:r>
        <w:rPr>
          <w:rFonts w:ascii="Times New Roman" w:hAnsi="Times New Roman" w:cs="Times New Roman"/>
          <w:sz w:val="24"/>
          <w:szCs w:val="24"/>
        </w:rPr>
        <w:t xml:space="preserve">nconscious of the nature of the </w:t>
      </w:r>
      <w:r w:rsidRPr="000A7A74">
        <w:rPr>
          <w:rFonts w:ascii="Times New Roman" w:hAnsi="Times New Roman" w:cs="Times New Roman"/>
          <w:sz w:val="24"/>
          <w:szCs w:val="24"/>
        </w:rPr>
        <w:t>act, and this is known to the accused.</w:t>
      </w:r>
    </w:p>
    <w:p w:rsidR="00B06F1B" w:rsidRPr="00B06F1B" w:rsidRDefault="00B06F1B" w:rsidP="00093A7A">
      <w:pPr>
        <w:pStyle w:val="HTMLPreformatted"/>
        <w:spacing w:line="360" w:lineRule="auto"/>
        <w:rPr>
          <w:rFonts w:ascii="Times New Roman" w:hAnsi="Times New Roman" w:cs="Times New Roman"/>
          <w:sz w:val="24"/>
          <w:szCs w:val="24"/>
        </w:rPr>
      </w:pPr>
      <w:r w:rsidRPr="00B06F1B">
        <w:rPr>
          <w:rFonts w:ascii="Times New Roman" w:hAnsi="Times New Roman" w:cs="Times New Roman"/>
          <w:sz w:val="24"/>
          <w:szCs w:val="24"/>
        </w:rPr>
        <w:t>(5) Where a person submits under the belief that the person</w:t>
      </w:r>
      <w:r>
        <w:rPr>
          <w:rFonts w:ascii="Times New Roman" w:hAnsi="Times New Roman" w:cs="Times New Roman"/>
          <w:sz w:val="24"/>
          <w:szCs w:val="24"/>
        </w:rPr>
        <w:t xml:space="preserve"> </w:t>
      </w:r>
      <w:r w:rsidRPr="00B06F1B">
        <w:rPr>
          <w:rFonts w:ascii="Times New Roman" w:hAnsi="Times New Roman" w:cs="Times New Roman"/>
          <w:sz w:val="24"/>
          <w:szCs w:val="24"/>
        </w:rPr>
        <w:t>committing the act is someone kno</w:t>
      </w:r>
      <w:r>
        <w:rPr>
          <w:rFonts w:ascii="Times New Roman" w:hAnsi="Times New Roman" w:cs="Times New Roman"/>
          <w:sz w:val="24"/>
          <w:szCs w:val="24"/>
        </w:rPr>
        <w:t xml:space="preserve">wn to the victim other than the </w:t>
      </w:r>
      <w:r w:rsidRPr="00B06F1B">
        <w:rPr>
          <w:rFonts w:ascii="Times New Roman" w:hAnsi="Times New Roman" w:cs="Times New Roman"/>
          <w:sz w:val="24"/>
          <w:szCs w:val="24"/>
        </w:rPr>
        <w:t>accused, and this belief is induce</w:t>
      </w:r>
      <w:r w:rsidR="00706D13">
        <w:rPr>
          <w:rFonts w:ascii="Times New Roman" w:hAnsi="Times New Roman" w:cs="Times New Roman"/>
          <w:sz w:val="24"/>
          <w:szCs w:val="24"/>
        </w:rPr>
        <w:t xml:space="preserve">d by any artifice, pretense, or </w:t>
      </w:r>
      <w:r w:rsidRPr="00B06F1B">
        <w:rPr>
          <w:rFonts w:ascii="Times New Roman" w:hAnsi="Times New Roman" w:cs="Times New Roman"/>
          <w:sz w:val="24"/>
          <w:szCs w:val="24"/>
        </w:rPr>
        <w:t>concealment practiced by the acc</w:t>
      </w:r>
      <w:r>
        <w:rPr>
          <w:rFonts w:ascii="Times New Roman" w:hAnsi="Times New Roman" w:cs="Times New Roman"/>
          <w:sz w:val="24"/>
          <w:szCs w:val="24"/>
        </w:rPr>
        <w:t xml:space="preserve">used, with intent to induce the </w:t>
      </w:r>
      <w:r w:rsidRPr="00B06F1B">
        <w:rPr>
          <w:rFonts w:ascii="Times New Roman" w:hAnsi="Times New Roman" w:cs="Times New Roman"/>
          <w:sz w:val="24"/>
          <w:szCs w:val="24"/>
        </w:rPr>
        <w:t>belief.</w:t>
      </w:r>
    </w:p>
    <w:p w:rsidR="00B06F1B" w:rsidRPr="00B06F1B" w:rsidRDefault="00B06F1B" w:rsidP="00093A7A">
      <w:pPr>
        <w:pStyle w:val="HTMLPreformatted"/>
        <w:spacing w:line="360" w:lineRule="auto"/>
        <w:rPr>
          <w:rFonts w:ascii="Times New Roman" w:hAnsi="Times New Roman" w:cs="Times New Roman"/>
          <w:sz w:val="24"/>
          <w:szCs w:val="24"/>
        </w:rPr>
      </w:pPr>
      <w:r w:rsidRPr="00B06F1B">
        <w:rPr>
          <w:rFonts w:ascii="Times New Roman" w:hAnsi="Times New Roman" w:cs="Times New Roman"/>
          <w:sz w:val="24"/>
          <w:szCs w:val="24"/>
        </w:rPr>
        <w:t>(6) Where the act is accomplish</w:t>
      </w:r>
      <w:r>
        <w:rPr>
          <w:rFonts w:ascii="Times New Roman" w:hAnsi="Times New Roman" w:cs="Times New Roman"/>
          <w:sz w:val="24"/>
          <w:szCs w:val="24"/>
        </w:rPr>
        <w:t xml:space="preserve">ed against the victim's will by </w:t>
      </w:r>
      <w:r w:rsidRPr="00B06F1B">
        <w:rPr>
          <w:rFonts w:ascii="Times New Roman" w:hAnsi="Times New Roman" w:cs="Times New Roman"/>
          <w:sz w:val="24"/>
          <w:szCs w:val="24"/>
        </w:rPr>
        <w:t>threatening to retaliate in the future against the victim or an</w:t>
      </w:r>
      <w:r>
        <w:rPr>
          <w:rFonts w:ascii="Times New Roman" w:hAnsi="Times New Roman" w:cs="Times New Roman"/>
          <w:sz w:val="24"/>
          <w:szCs w:val="24"/>
        </w:rPr>
        <w:t xml:space="preserve">y </w:t>
      </w:r>
      <w:r w:rsidRPr="00B06F1B">
        <w:rPr>
          <w:rFonts w:ascii="Times New Roman" w:hAnsi="Times New Roman" w:cs="Times New Roman"/>
          <w:sz w:val="24"/>
          <w:szCs w:val="24"/>
        </w:rPr>
        <w:t xml:space="preserve">other person, and there is a </w:t>
      </w:r>
      <w:r>
        <w:rPr>
          <w:rFonts w:ascii="Times New Roman" w:hAnsi="Times New Roman" w:cs="Times New Roman"/>
          <w:sz w:val="24"/>
          <w:szCs w:val="24"/>
        </w:rPr>
        <w:t xml:space="preserve">reasonable possibility that the </w:t>
      </w:r>
      <w:r w:rsidRPr="00B06F1B">
        <w:rPr>
          <w:rFonts w:ascii="Times New Roman" w:hAnsi="Times New Roman" w:cs="Times New Roman"/>
          <w:sz w:val="24"/>
          <w:szCs w:val="24"/>
        </w:rPr>
        <w:t>perpetrator will execute the thr</w:t>
      </w:r>
      <w:r>
        <w:rPr>
          <w:rFonts w:ascii="Times New Roman" w:hAnsi="Times New Roman" w:cs="Times New Roman"/>
          <w:sz w:val="24"/>
          <w:szCs w:val="24"/>
        </w:rPr>
        <w:t xml:space="preserve">eat. As used in this paragraph, </w:t>
      </w:r>
      <w:r w:rsidRPr="00B06F1B">
        <w:rPr>
          <w:rFonts w:ascii="Times New Roman" w:hAnsi="Times New Roman" w:cs="Times New Roman"/>
          <w:sz w:val="24"/>
          <w:szCs w:val="24"/>
        </w:rPr>
        <w:t>"threatening to retaliate" means a threat to kidnap or falsely</w:t>
      </w:r>
      <w:r>
        <w:rPr>
          <w:rFonts w:ascii="Times New Roman" w:hAnsi="Times New Roman" w:cs="Times New Roman"/>
          <w:sz w:val="24"/>
          <w:szCs w:val="24"/>
        </w:rPr>
        <w:t xml:space="preserve"> </w:t>
      </w:r>
      <w:r w:rsidRPr="00B06F1B">
        <w:rPr>
          <w:rFonts w:ascii="Times New Roman" w:hAnsi="Times New Roman" w:cs="Times New Roman"/>
          <w:sz w:val="24"/>
          <w:szCs w:val="24"/>
        </w:rPr>
        <w:t>imprison, or to inflict extreme pain, serious bodily injury, or</w:t>
      </w:r>
      <w:r>
        <w:rPr>
          <w:rFonts w:ascii="Times New Roman" w:hAnsi="Times New Roman" w:cs="Times New Roman"/>
          <w:sz w:val="24"/>
          <w:szCs w:val="24"/>
        </w:rPr>
        <w:t xml:space="preserve"> </w:t>
      </w:r>
      <w:r w:rsidRPr="00B06F1B">
        <w:rPr>
          <w:rFonts w:ascii="Times New Roman" w:hAnsi="Times New Roman" w:cs="Times New Roman"/>
          <w:sz w:val="24"/>
          <w:szCs w:val="24"/>
        </w:rPr>
        <w:t>death.</w:t>
      </w:r>
    </w:p>
    <w:p w:rsidR="00B06F1B" w:rsidRPr="00B06F1B" w:rsidRDefault="00B06F1B" w:rsidP="00093A7A">
      <w:pPr>
        <w:pStyle w:val="HTMLPreformatted"/>
        <w:spacing w:line="360" w:lineRule="auto"/>
        <w:rPr>
          <w:rFonts w:ascii="Times New Roman" w:hAnsi="Times New Roman" w:cs="Times New Roman"/>
          <w:sz w:val="24"/>
          <w:szCs w:val="24"/>
        </w:rPr>
      </w:pPr>
      <w:r w:rsidRPr="00B06F1B">
        <w:rPr>
          <w:rFonts w:ascii="Times New Roman" w:hAnsi="Times New Roman" w:cs="Times New Roman"/>
          <w:sz w:val="24"/>
          <w:szCs w:val="24"/>
        </w:rPr>
        <w:t>(7) Where the act is accomplish</w:t>
      </w:r>
      <w:r>
        <w:rPr>
          <w:rFonts w:ascii="Times New Roman" w:hAnsi="Times New Roman" w:cs="Times New Roman"/>
          <w:sz w:val="24"/>
          <w:szCs w:val="24"/>
        </w:rPr>
        <w:t xml:space="preserve">ed against the victim's will by </w:t>
      </w:r>
      <w:r w:rsidRPr="00B06F1B">
        <w:rPr>
          <w:rFonts w:ascii="Times New Roman" w:hAnsi="Times New Roman" w:cs="Times New Roman"/>
          <w:sz w:val="24"/>
          <w:szCs w:val="24"/>
        </w:rPr>
        <w:t xml:space="preserve">threatening to use the authority of a </w:t>
      </w:r>
      <w:r>
        <w:rPr>
          <w:rFonts w:ascii="Times New Roman" w:hAnsi="Times New Roman" w:cs="Times New Roman"/>
          <w:sz w:val="24"/>
          <w:szCs w:val="24"/>
        </w:rPr>
        <w:t xml:space="preserve">public official to incarcerate, </w:t>
      </w:r>
      <w:r w:rsidRPr="00B06F1B">
        <w:rPr>
          <w:rFonts w:ascii="Times New Roman" w:hAnsi="Times New Roman" w:cs="Times New Roman"/>
          <w:sz w:val="24"/>
          <w:szCs w:val="24"/>
        </w:rPr>
        <w:t>arrest, or deport the victim o</w:t>
      </w:r>
      <w:r>
        <w:rPr>
          <w:rFonts w:ascii="Times New Roman" w:hAnsi="Times New Roman" w:cs="Times New Roman"/>
          <w:sz w:val="24"/>
          <w:szCs w:val="24"/>
        </w:rPr>
        <w:t xml:space="preserve">r another, and the victim has a </w:t>
      </w:r>
      <w:r w:rsidRPr="00B06F1B">
        <w:rPr>
          <w:rFonts w:ascii="Times New Roman" w:hAnsi="Times New Roman" w:cs="Times New Roman"/>
          <w:sz w:val="24"/>
          <w:szCs w:val="24"/>
        </w:rPr>
        <w:t>reasonable belief that the perpetrato</w:t>
      </w:r>
      <w:r>
        <w:rPr>
          <w:rFonts w:ascii="Times New Roman" w:hAnsi="Times New Roman" w:cs="Times New Roman"/>
          <w:sz w:val="24"/>
          <w:szCs w:val="24"/>
        </w:rPr>
        <w:t xml:space="preserve">r is a public official. As used </w:t>
      </w:r>
      <w:r w:rsidRPr="00B06F1B">
        <w:rPr>
          <w:rFonts w:ascii="Times New Roman" w:hAnsi="Times New Roman" w:cs="Times New Roman"/>
          <w:sz w:val="24"/>
          <w:szCs w:val="24"/>
        </w:rPr>
        <w:t>in this paragraph, "public officia</w:t>
      </w:r>
      <w:r>
        <w:rPr>
          <w:rFonts w:ascii="Times New Roman" w:hAnsi="Times New Roman" w:cs="Times New Roman"/>
          <w:sz w:val="24"/>
          <w:szCs w:val="24"/>
        </w:rPr>
        <w:t xml:space="preserve">l" means a person employed by a </w:t>
      </w:r>
      <w:r w:rsidRPr="00B06F1B">
        <w:rPr>
          <w:rFonts w:ascii="Times New Roman" w:hAnsi="Times New Roman" w:cs="Times New Roman"/>
          <w:sz w:val="24"/>
          <w:szCs w:val="24"/>
        </w:rPr>
        <w:t>governmental agency who has the autho</w:t>
      </w:r>
      <w:r>
        <w:rPr>
          <w:rFonts w:ascii="Times New Roman" w:hAnsi="Times New Roman" w:cs="Times New Roman"/>
          <w:sz w:val="24"/>
          <w:szCs w:val="24"/>
        </w:rPr>
        <w:t xml:space="preserve">rity, as part of that position, </w:t>
      </w:r>
      <w:r w:rsidRPr="00B06F1B">
        <w:rPr>
          <w:rFonts w:ascii="Times New Roman" w:hAnsi="Times New Roman" w:cs="Times New Roman"/>
          <w:sz w:val="24"/>
          <w:szCs w:val="24"/>
        </w:rPr>
        <w:t>to incarcerate, arrest, or deport another. The perpe</w:t>
      </w:r>
      <w:r>
        <w:rPr>
          <w:rFonts w:ascii="Times New Roman" w:hAnsi="Times New Roman" w:cs="Times New Roman"/>
          <w:sz w:val="24"/>
          <w:szCs w:val="24"/>
        </w:rPr>
        <w:t xml:space="preserve">trator does not </w:t>
      </w:r>
      <w:r w:rsidRPr="00B06F1B">
        <w:rPr>
          <w:rFonts w:ascii="Times New Roman" w:hAnsi="Times New Roman" w:cs="Times New Roman"/>
          <w:sz w:val="24"/>
          <w:szCs w:val="24"/>
        </w:rPr>
        <w:t>actually have to be a public official.</w:t>
      </w:r>
    </w:p>
    <w:p w:rsidR="00B06F1B" w:rsidRPr="00B06F1B" w:rsidRDefault="00B06F1B" w:rsidP="00B06F1B">
      <w:pPr>
        <w:pStyle w:val="Heading1"/>
      </w:pPr>
      <w:r>
        <w:t xml:space="preserve">Facts of the Case </w:t>
      </w:r>
    </w:p>
    <w:p w:rsidR="00CE10BE" w:rsidRDefault="00B06F1B" w:rsidP="00093A7A">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Kim Kardashian and Bill Cosby both go out drinking at the same bar.  Bill Cosby and Kim Kardashian are seen together at the bar drinking.  Both parties consumed the same amount of alcohol, thus both equally as intoxicated.  Kim Kardashian and Bill Cosby decided together to leave the bar.  Shortly after leaving the bar, the two hail a taxi cab and return to Kim Kardashian’s house where the two partook in sexual intercourse.  Witness accounts and victim/defendant testimonies verify </w:t>
      </w:r>
      <w:r w:rsidR="00CE10BE">
        <w:rPr>
          <w:rFonts w:ascii="Times New Roman" w:hAnsi="Times New Roman" w:cs="Times New Roman"/>
          <w:sz w:val="24"/>
          <w:szCs w:val="24"/>
        </w:rPr>
        <w:t xml:space="preserve">all the above evidence.  </w:t>
      </w:r>
    </w:p>
    <w:p w:rsidR="00CE10BE" w:rsidRDefault="00CE10BE" w:rsidP="00CE10BE">
      <w:pPr>
        <w:pStyle w:val="Heading1"/>
      </w:pPr>
      <w:r>
        <w:t xml:space="preserve">Trial Court </w:t>
      </w:r>
    </w:p>
    <w:p w:rsidR="00CE10BE" w:rsidRPr="00CE10BE" w:rsidRDefault="00CE10BE" w:rsidP="00093A7A">
      <w:pPr>
        <w:spacing w:line="360" w:lineRule="auto"/>
      </w:pPr>
      <w:r>
        <w:t xml:space="preserve">In a California Trial Court the Jury and Judge found the defendant Kim Kardashian guilty of raping Bill Cosby in her home.  Bill Cosby claimed to have never given consent to Kim Kardashian to engage in sexual intercourse with him.  </w:t>
      </w:r>
      <w:r w:rsidR="00183E26">
        <w:t xml:space="preserve">Based off this testimony the jury decided that the defendant should be deemed guilty of her crime.  </w:t>
      </w:r>
    </w:p>
    <w:p w:rsidR="00B06F1B" w:rsidRDefault="00B00B1E" w:rsidP="00CE10BE">
      <w:pPr>
        <w:pStyle w:val="Heading1"/>
      </w:pPr>
      <w:r>
        <w:lastRenderedPageBreak/>
        <w:t xml:space="preserve">Statement of Conclusion </w:t>
      </w:r>
    </w:p>
    <w:p w:rsidR="00B00B1E" w:rsidRDefault="00B00B1E" w:rsidP="00093A7A">
      <w:pPr>
        <w:spacing w:line="360" w:lineRule="auto"/>
      </w:pPr>
      <w:r>
        <w:t xml:space="preserve">The California Penal Code defines rape under a wide range of parameters.  </w:t>
      </w:r>
    </w:p>
    <w:p w:rsidR="00B00B1E" w:rsidRDefault="00B00B1E" w:rsidP="00093A7A">
      <w:pPr>
        <w:pStyle w:val="ListParagraph"/>
        <w:numPr>
          <w:ilvl w:val="0"/>
          <w:numId w:val="1"/>
        </w:numPr>
        <w:spacing w:line="360" w:lineRule="auto"/>
      </w:pPr>
      <w:r>
        <w:t>If the victim has a physical or mental disorder enabling them to give consent</w:t>
      </w:r>
      <w:r w:rsidR="00262382">
        <w:t xml:space="preserve"> and is known by the accused </w:t>
      </w:r>
    </w:p>
    <w:p w:rsidR="00262382" w:rsidRDefault="00262382" w:rsidP="00093A7A">
      <w:pPr>
        <w:pStyle w:val="ListParagraph"/>
        <w:numPr>
          <w:ilvl w:val="1"/>
          <w:numId w:val="1"/>
        </w:numPr>
        <w:spacing w:line="360" w:lineRule="auto"/>
      </w:pPr>
      <w:r>
        <w:t xml:space="preserve">In this case neither the victim nor defendant was diagnosed or presented having a physical or mental disability rendering them incapable of consenting </w:t>
      </w:r>
    </w:p>
    <w:p w:rsidR="00262382" w:rsidRDefault="00262382" w:rsidP="00093A7A">
      <w:pPr>
        <w:pStyle w:val="ListParagraph"/>
        <w:numPr>
          <w:ilvl w:val="0"/>
          <w:numId w:val="1"/>
        </w:numPr>
        <w:spacing w:line="360" w:lineRule="auto"/>
      </w:pPr>
      <w:r>
        <w:t xml:space="preserve">If the accused strikes fear, uses physically force, or uses violence to force the victim to have sexual intercourse </w:t>
      </w:r>
    </w:p>
    <w:p w:rsidR="00F67044" w:rsidRPr="00F67044" w:rsidRDefault="00262382" w:rsidP="00093A7A">
      <w:pPr>
        <w:pStyle w:val="ListParagraph"/>
        <w:numPr>
          <w:ilvl w:val="1"/>
          <w:numId w:val="1"/>
        </w:numPr>
        <w:spacing w:line="360" w:lineRule="auto"/>
        <w:rPr>
          <w:rFonts w:cs="Times New Roman"/>
          <w:szCs w:val="24"/>
        </w:rPr>
      </w:pPr>
      <w:r>
        <w:t xml:space="preserve">In this case both parties were equally as intoxicated.  No evidence presented forceful sex.  There were no medical reports insinuating that the victim or the defendant sustained bodily harm.  </w:t>
      </w:r>
      <w:r w:rsidR="00CE31F7">
        <w:t>Since both parties were equally intoxicated</w:t>
      </w:r>
      <w:r w:rsidR="00F67044">
        <w:t>, and no medical reports or signs or physical damage were presents, and</w:t>
      </w:r>
      <w:r w:rsidR="00CE31F7">
        <w:t xml:space="preserve"> </w:t>
      </w:r>
      <w:r>
        <w:t xml:space="preserve">Kim Kardashian </w:t>
      </w:r>
      <w:r w:rsidR="00CE31F7">
        <w:t>is</w:t>
      </w:r>
      <w:r>
        <w:t xml:space="preserve"> physicall</w:t>
      </w:r>
      <w:r w:rsidR="00CE31F7">
        <w:t>y smaller than Bill Cosby</w:t>
      </w:r>
      <w:r w:rsidR="00F67044">
        <w:t xml:space="preserve">; it is very unlikely that the defendant force the victim to have sex with her.  </w:t>
      </w:r>
    </w:p>
    <w:p w:rsidR="00F67044" w:rsidRPr="00F67044" w:rsidRDefault="00F67044" w:rsidP="00093A7A">
      <w:pPr>
        <w:pStyle w:val="ListParagraph"/>
        <w:numPr>
          <w:ilvl w:val="0"/>
          <w:numId w:val="1"/>
        </w:numPr>
        <w:spacing w:line="360" w:lineRule="auto"/>
        <w:rPr>
          <w:rFonts w:cs="Times New Roman"/>
          <w:szCs w:val="24"/>
        </w:rPr>
      </w:pPr>
      <w:r>
        <w:t>If a person is unable to consistent due to intoxication or any anesthetic substance intake</w:t>
      </w:r>
    </w:p>
    <w:p w:rsidR="003864A0" w:rsidRPr="003864A0" w:rsidRDefault="00F67044" w:rsidP="00093A7A">
      <w:pPr>
        <w:pStyle w:val="ListParagraph"/>
        <w:numPr>
          <w:ilvl w:val="1"/>
          <w:numId w:val="1"/>
        </w:numPr>
        <w:spacing w:line="360" w:lineRule="auto"/>
        <w:rPr>
          <w:rFonts w:cs="Times New Roman"/>
          <w:szCs w:val="24"/>
        </w:rPr>
      </w:pPr>
      <w:r>
        <w:t>In this case both parties were equally as intoxicated.  Both reported having the same amount of alcohol</w:t>
      </w:r>
      <w:r w:rsidR="003864A0">
        <w:t>.  Although alcoholic tolerances are a factor here, both parties consuming the same amount of drinks put both parties on an equal BAC level.  Therefore it is unlikely that one of them was unable to consent while the other was able to.  It is also unlikely that the able bodied party was able to take advantage of the party that was unable to consent being just as drunk as he was.</w:t>
      </w:r>
    </w:p>
    <w:p w:rsidR="00F67044" w:rsidRDefault="005A2298" w:rsidP="00093A7A">
      <w:pPr>
        <w:pStyle w:val="ListParagraph"/>
        <w:numPr>
          <w:ilvl w:val="0"/>
          <w:numId w:val="1"/>
        </w:numPr>
        <w:spacing w:line="360" w:lineRule="auto"/>
        <w:rPr>
          <w:rFonts w:cs="Times New Roman"/>
          <w:szCs w:val="24"/>
        </w:rPr>
      </w:pPr>
      <w:r>
        <w:rPr>
          <w:rFonts w:cs="Times New Roman"/>
          <w:szCs w:val="24"/>
        </w:rPr>
        <w:t>If the person is unconscious during the time of the act and the other parties knows this has taken place.</w:t>
      </w:r>
    </w:p>
    <w:p w:rsidR="005A2298" w:rsidRDefault="005A2298" w:rsidP="00093A7A">
      <w:pPr>
        <w:pStyle w:val="ListParagraph"/>
        <w:numPr>
          <w:ilvl w:val="1"/>
          <w:numId w:val="1"/>
        </w:numPr>
        <w:spacing w:line="360" w:lineRule="auto"/>
        <w:rPr>
          <w:rFonts w:cs="Times New Roman"/>
          <w:szCs w:val="24"/>
        </w:rPr>
      </w:pPr>
      <w:r>
        <w:rPr>
          <w:rFonts w:cs="Times New Roman"/>
          <w:szCs w:val="24"/>
        </w:rPr>
        <w:t xml:space="preserve">In this case both parties reported being conscious throughout the sexual act.  </w:t>
      </w:r>
    </w:p>
    <w:p w:rsidR="005A2298" w:rsidRDefault="005A2298" w:rsidP="00093A7A">
      <w:pPr>
        <w:pStyle w:val="ListParagraph"/>
        <w:numPr>
          <w:ilvl w:val="0"/>
          <w:numId w:val="1"/>
        </w:numPr>
        <w:spacing w:line="360" w:lineRule="auto"/>
        <w:rPr>
          <w:rFonts w:cs="Times New Roman"/>
          <w:szCs w:val="24"/>
        </w:rPr>
      </w:pPr>
      <w:r>
        <w:rPr>
          <w:rFonts w:cs="Times New Roman"/>
          <w:szCs w:val="24"/>
        </w:rPr>
        <w:t>If the person committing rape has tricked the victim into believing that he/her is someone else.</w:t>
      </w:r>
    </w:p>
    <w:p w:rsidR="005A2298" w:rsidRDefault="005A2298" w:rsidP="00093A7A">
      <w:pPr>
        <w:pStyle w:val="ListParagraph"/>
        <w:numPr>
          <w:ilvl w:val="1"/>
          <w:numId w:val="1"/>
        </w:numPr>
        <w:spacing w:line="360" w:lineRule="auto"/>
        <w:rPr>
          <w:rFonts w:cs="Times New Roman"/>
          <w:szCs w:val="24"/>
        </w:rPr>
      </w:pPr>
      <w:r>
        <w:rPr>
          <w:rFonts w:cs="Times New Roman"/>
          <w:szCs w:val="24"/>
        </w:rPr>
        <w:t xml:space="preserve">In this case both parties met at the bar and no illusion of another person was put on by the defendant.  The </w:t>
      </w:r>
      <w:r w:rsidR="00116997">
        <w:rPr>
          <w:rFonts w:cs="Times New Roman"/>
          <w:szCs w:val="24"/>
        </w:rPr>
        <w:t xml:space="preserve">two parties both knew who each other were for the brief period of introduction and leaving the bar together.  </w:t>
      </w:r>
    </w:p>
    <w:p w:rsidR="00116997" w:rsidRDefault="00116997" w:rsidP="00093A7A">
      <w:pPr>
        <w:pStyle w:val="ListParagraph"/>
        <w:numPr>
          <w:ilvl w:val="0"/>
          <w:numId w:val="1"/>
        </w:numPr>
        <w:spacing w:line="360" w:lineRule="auto"/>
        <w:rPr>
          <w:rFonts w:cs="Times New Roman"/>
          <w:szCs w:val="24"/>
        </w:rPr>
      </w:pPr>
      <w:r>
        <w:rPr>
          <w:rFonts w:cs="Times New Roman"/>
          <w:szCs w:val="24"/>
        </w:rPr>
        <w:t xml:space="preserve">If the person committing the rape threatens future violence or oppressive action to the victim. </w:t>
      </w:r>
    </w:p>
    <w:p w:rsidR="00116997" w:rsidRDefault="00116997" w:rsidP="00093A7A">
      <w:pPr>
        <w:pStyle w:val="ListParagraph"/>
        <w:numPr>
          <w:ilvl w:val="1"/>
          <w:numId w:val="1"/>
        </w:numPr>
        <w:spacing w:line="360" w:lineRule="auto"/>
        <w:rPr>
          <w:rFonts w:cs="Times New Roman"/>
          <w:szCs w:val="24"/>
        </w:rPr>
      </w:pPr>
      <w:r>
        <w:rPr>
          <w:rFonts w:cs="Times New Roman"/>
          <w:szCs w:val="24"/>
        </w:rPr>
        <w:lastRenderedPageBreak/>
        <w:t xml:space="preserve">In this case the defendant never made futuristic treats towards the victim, treating oppression or bodily harm.  Both party’s testimonies prove this.  </w:t>
      </w:r>
    </w:p>
    <w:p w:rsidR="00116997" w:rsidRDefault="00116997" w:rsidP="00093A7A">
      <w:pPr>
        <w:pStyle w:val="ListParagraph"/>
        <w:numPr>
          <w:ilvl w:val="0"/>
          <w:numId w:val="1"/>
        </w:numPr>
        <w:spacing w:line="360" w:lineRule="auto"/>
        <w:rPr>
          <w:rFonts w:cs="Times New Roman"/>
          <w:szCs w:val="24"/>
        </w:rPr>
      </w:pPr>
      <w:r>
        <w:rPr>
          <w:rFonts w:cs="Times New Roman"/>
          <w:szCs w:val="24"/>
        </w:rPr>
        <w:t xml:space="preserve">If the person committing the rape threatens the victim using threats related to public office powers, such as incarceration, arrest, or deportation.  </w:t>
      </w:r>
    </w:p>
    <w:p w:rsidR="00116997" w:rsidRDefault="00116997" w:rsidP="00093A7A">
      <w:pPr>
        <w:pStyle w:val="ListParagraph"/>
        <w:numPr>
          <w:ilvl w:val="1"/>
          <w:numId w:val="1"/>
        </w:numPr>
        <w:spacing w:line="360" w:lineRule="auto"/>
        <w:rPr>
          <w:rFonts w:cs="Times New Roman"/>
          <w:szCs w:val="24"/>
        </w:rPr>
      </w:pPr>
      <w:r>
        <w:rPr>
          <w:rFonts w:cs="Times New Roman"/>
          <w:szCs w:val="24"/>
        </w:rPr>
        <w:t>The defendant never threated the victim using powers of public office and had no substantial backing (</w:t>
      </w:r>
      <w:proofErr w:type="spellStart"/>
      <w:r>
        <w:rPr>
          <w:rFonts w:cs="Times New Roman"/>
          <w:szCs w:val="24"/>
        </w:rPr>
        <w:t>i.e</w:t>
      </w:r>
      <w:proofErr w:type="spellEnd"/>
      <w:r>
        <w:rPr>
          <w:rFonts w:cs="Times New Roman"/>
          <w:szCs w:val="24"/>
        </w:rPr>
        <w:t xml:space="preserve"> is a cop, public office holder, etc.) to persuade the victim to think otherwise.  </w:t>
      </w:r>
    </w:p>
    <w:p w:rsidR="00637729" w:rsidRPr="00637729" w:rsidRDefault="00637729" w:rsidP="00637729">
      <w:pPr>
        <w:pStyle w:val="Heading1"/>
      </w:pPr>
      <w:r w:rsidRPr="00637729">
        <w:t>Support</w:t>
      </w:r>
      <w:r w:rsidR="00FF0068">
        <w:t>:</w:t>
      </w:r>
      <w:r w:rsidRPr="00637729">
        <w:t xml:space="preserve"> Intent </w:t>
      </w:r>
    </w:p>
    <w:p w:rsidR="00627863" w:rsidRDefault="00116997" w:rsidP="00093A7A">
      <w:pPr>
        <w:spacing w:line="360" w:lineRule="auto"/>
        <w:rPr>
          <w:rFonts w:cs="Times New Roman"/>
          <w:szCs w:val="24"/>
        </w:rPr>
      </w:pPr>
      <w:r>
        <w:rPr>
          <w:rFonts w:cs="Times New Roman"/>
          <w:szCs w:val="24"/>
        </w:rPr>
        <w:t>Based on this review of the California Penal code the defendant is not guilty of rape on any of the seven parameters.  The case presents a lack of evidence and therefore the trial court was wrong to proceed with the conviction of the defendant.</w:t>
      </w:r>
      <w:r w:rsidR="00637729">
        <w:rPr>
          <w:rFonts w:cs="Times New Roman"/>
          <w:szCs w:val="24"/>
        </w:rPr>
        <w:t xml:space="preserve">  The defendant never had any intention of committing sexual intercourse against the victims will.  The defendant as reviewed above was just as intoxicated </w:t>
      </w:r>
      <w:r w:rsidR="00627863">
        <w:rPr>
          <w:rFonts w:cs="Times New Roman"/>
          <w:szCs w:val="24"/>
        </w:rPr>
        <w:t xml:space="preserve">and just as consensual as the victim was leading up to the event.  Both parties agreed to drink together, leave the bar together, get in the cap together, and go back to the defendant’s house together.  Nowhere along this line was the defendant ever led to believe that the victim was uncomfortable with situation that was brewing, nor did the victim ever explicitly claim that they didn’t want to proceed to have sex.  My client can’t be proven of rape based on the California Penal Code definition.  </w:t>
      </w:r>
    </w:p>
    <w:p w:rsidR="00116997" w:rsidRDefault="00627863" w:rsidP="00093A7A">
      <w:pPr>
        <w:spacing w:line="360" w:lineRule="auto"/>
        <w:rPr>
          <w:rFonts w:cs="Times New Roman"/>
          <w:szCs w:val="24"/>
        </w:rPr>
      </w:pPr>
      <w:r>
        <w:rPr>
          <w:rFonts w:cs="Times New Roman"/>
          <w:szCs w:val="24"/>
        </w:rPr>
        <w:t xml:space="preserve">Federally a defendant is innocent until proven guilty.  </w:t>
      </w:r>
      <w:r w:rsidR="00DB5DB8">
        <w:rPr>
          <w:rFonts w:cs="Times New Roman"/>
          <w:szCs w:val="24"/>
        </w:rPr>
        <w:t>This right is protected by the Universal Declaration of Human Rights proposed by the UN in 1948.  The U.S being a key contributor to creation of this universal right, today commonly accepts this right a</w:t>
      </w:r>
      <w:r w:rsidR="00B2321A">
        <w:rPr>
          <w:rFonts w:cs="Times New Roman"/>
          <w:szCs w:val="24"/>
        </w:rPr>
        <w:t>s a</w:t>
      </w:r>
      <w:r w:rsidR="00DB5DB8">
        <w:rPr>
          <w:rFonts w:cs="Times New Roman"/>
          <w:szCs w:val="24"/>
        </w:rPr>
        <w:t xml:space="preserve"> U.S citizen’s right.  It is up to the prosecution to provide proof to convict the defendant of accused criminal activity.  In this case the prosecution as reviewed above lacks enough evidence to de</w:t>
      </w:r>
      <w:r w:rsidR="00B2321A">
        <w:rPr>
          <w:rFonts w:cs="Times New Roman"/>
          <w:szCs w:val="24"/>
        </w:rPr>
        <w:t xml:space="preserve">finitively say whether or not the defendant should be convicted.   </w:t>
      </w:r>
    </w:p>
    <w:p w:rsidR="00E00BB9" w:rsidRPr="00E00BB9" w:rsidRDefault="00FF0068" w:rsidP="00E00BB9">
      <w:pPr>
        <w:pStyle w:val="Heading1"/>
        <w:jc w:val="left"/>
      </w:pPr>
      <w:r>
        <w:t xml:space="preserve">Support: Legal Precedent </w:t>
      </w:r>
    </w:p>
    <w:p w:rsidR="00FF0068" w:rsidRDefault="00FF0068" w:rsidP="00E00BB9">
      <w:pPr>
        <w:spacing w:after="0"/>
        <w:jc w:val="left"/>
        <w:rPr>
          <w:rFonts w:eastAsia="Times New Roman" w:cs="Times New Roman"/>
          <w:szCs w:val="24"/>
        </w:rPr>
      </w:pPr>
      <w:r w:rsidRPr="00FF0068">
        <w:rPr>
          <w:rFonts w:eastAsia="Times New Roman" w:cs="Times New Roman"/>
          <w:szCs w:val="24"/>
        </w:rPr>
        <w:t>THE PEOPLE, Respondent, v. RAYMOND VILLA, Appellant</w:t>
      </w:r>
    </w:p>
    <w:p w:rsidR="00E00BB9" w:rsidRPr="00E00BB9" w:rsidRDefault="00E00BB9" w:rsidP="00E00BB9">
      <w:pPr>
        <w:spacing w:after="0"/>
        <w:jc w:val="left"/>
        <w:rPr>
          <w:rFonts w:eastAsia="Times New Roman" w:cs="Times New Roman"/>
          <w:szCs w:val="24"/>
        </w:rPr>
      </w:pPr>
      <w:r w:rsidRPr="00E00BB9">
        <w:rPr>
          <w:rFonts w:eastAsia="Times New Roman" w:cs="Times New Roman"/>
          <w:szCs w:val="24"/>
        </w:rPr>
        <w:t xml:space="preserve">Court of Appeal of </w:t>
      </w:r>
      <w:bookmarkStart w:id="1" w:name="ORIGHIT_1"/>
      <w:bookmarkStart w:id="2" w:name="HIT_1"/>
      <w:bookmarkEnd w:id="1"/>
      <w:bookmarkEnd w:id="2"/>
      <w:r w:rsidRPr="00E00BB9">
        <w:rPr>
          <w:rFonts w:eastAsia="Times New Roman" w:cs="Times New Roman"/>
          <w:szCs w:val="24"/>
        </w:rPr>
        <w:t>California, First Appellate District, Division One</w:t>
      </w:r>
    </w:p>
    <w:p w:rsidR="00E00BB9" w:rsidRDefault="00E00BB9" w:rsidP="00E00BB9">
      <w:pPr>
        <w:spacing w:after="0"/>
        <w:jc w:val="left"/>
        <w:rPr>
          <w:rFonts w:eastAsia="Times New Roman" w:cs="Times New Roman"/>
          <w:szCs w:val="24"/>
        </w:rPr>
      </w:pPr>
    </w:p>
    <w:p w:rsidR="00C3682E" w:rsidRDefault="00E00BB9" w:rsidP="00093A7A">
      <w:pPr>
        <w:spacing w:after="0" w:line="360" w:lineRule="auto"/>
        <w:jc w:val="left"/>
        <w:rPr>
          <w:rFonts w:eastAsia="Times New Roman" w:cs="Times New Roman"/>
          <w:szCs w:val="24"/>
        </w:rPr>
      </w:pPr>
      <w:r>
        <w:rPr>
          <w:rFonts w:eastAsia="Times New Roman" w:cs="Times New Roman"/>
          <w:szCs w:val="24"/>
        </w:rPr>
        <w:t xml:space="preserve">In the People v. Raymond Appeals Court Case Raymond Villa was acquitted of his rape charges on the account that the victim’s testimony suggested that the sexual intercourse that occurred </w:t>
      </w:r>
      <w:r>
        <w:rPr>
          <w:rFonts w:eastAsia="Times New Roman" w:cs="Times New Roman"/>
          <w:szCs w:val="24"/>
        </w:rPr>
        <w:lastRenderedPageBreak/>
        <w:t>between the two parties was indeed consented to.  The victim’s testimony didn’t supply convincing enough evidence to definitively prove rape.  This is the case in Kim Kardashian and Bill Cosby incident.  Bill Cosby didn’t provide enough convincing evidence in his testimony to suggest rape had occurred</w:t>
      </w:r>
      <w:r w:rsidR="00C3682E">
        <w:rPr>
          <w:rFonts w:eastAsia="Times New Roman" w:cs="Times New Roman"/>
          <w:szCs w:val="24"/>
        </w:rPr>
        <w:t xml:space="preserve">.  </w:t>
      </w:r>
    </w:p>
    <w:p w:rsidR="00E00BB9" w:rsidRDefault="00093A7A" w:rsidP="00C3682E">
      <w:pPr>
        <w:pStyle w:val="Heading1"/>
        <w:rPr>
          <w:rFonts w:eastAsia="Times New Roman"/>
        </w:rPr>
      </w:pPr>
      <w:r>
        <w:rPr>
          <w:rFonts w:eastAsia="Times New Roman"/>
        </w:rPr>
        <w:t xml:space="preserve">Rebuttal / </w:t>
      </w:r>
      <w:r w:rsidR="00C3682E">
        <w:rPr>
          <w:rFonts w:eastAsia="Times New Roman"/>
        </w:rPr>
        <w:t>Conclusion</w:t>
      </w:r>
      <w:r w:rsidR="00E00BB9">
        <w:rPr>
          <w:rFonts w:eastAsia="Times New Roman"/>
        </w:rPr>
        <w:t xml:space="preserve"> </w:t>
      </w:r>
    </w:p>
    <w:p w:rsidR="00C3682E" w:rsidRDefault="00C3682E" w:rsidP="00093A7A">
      <w:pPr>
        <w:spacing w:line="360" w:lineRule="auto"/>
      </w:pPr>
      <w:r>
        <w:t>-The defendant did not violate the CA penal code 261 on any of the parameters set for this penal code by the state of California.</w:t>
      </w:r>
    </w:p>
    <w:p w:rsidR="00073FE6" w:rsidRDefault="00C3682E" w:rsidP="00093A7A">
      <w:pPr>
        <w:spacing w:line="360" w:lineRule="auto"/>
      </w:pPr>
      <w:r>
        <w:t>-The defendant was under the impression throughout the course of the night that the victim had consented to sexual intercourse and at no time was the defendant informed or let known that that previ</w:t>
      </w:r>
      <w:r w:rsidR="00073FE6">
        <w:t>ously given consent was detracted.</w:t>
      </w:r>
    </w:p>
    <w:p w:rsidR="00073FE6" w:rsidRDefault="00073FE6" w:rsidP="00093A7A">
      <w:pPr>
        <w:spacing w:line="360" w:lineRule="auto"/>
      </w:pPr>
      <w:r>
        <w:t>-The defendant is therefore innocent of committed rape and her universal declaration of human rights were violated in the sense that she was not innocent until proven guilty seeing as she was never factually proven guilty.</w:t>
      </w:r>
    </w:p>
    <w:p w:rsidR="00C3682E" w:rsidRDefault="00073FE6" w:rsidP="00093A7A">
      <w:pPr>
        <w:spacing w:line="360" w:lineRule="auto"/>
      </w:pPr>
      <w:r>
        <w:t xml:space="preserve">-Lack of evidence and poor testimonies render the defendant innocent   </w:t>
      </w:r>
      <w:r w:rsidR="00C3682E">
        <w:t xml:space="preserve"> </w:t>
      </w:r>
    </w:p>
    <w:p w:rsidR="00C3682E" w:rsidRPr="00C3682E" w:rsidRDefault="00C3682E" w:rsidP="00093A7A">
      <w:pPr>
        <w:spacing w:line="360" w:lineRule="auto"/>
      </w:pPr>
    </w:p>
    <w:p w:rsidR="00FF0068" w:rsidRPr="00FF0068" w:rsidRDefault="00FF0068" w:rsidP="00FF0068">
      <w:pPr>
        <w:spacing w:after="0"/>
        <w:jc w:val="center"/>
        <w:rPr>
          <w:rFonts w:eastAsia="Times New Roman" w:cs="Times New Roman"/>
          <w:szCs w:val="24"/>
        </w:rPr>
      </w:pPr>
    </w:p>
    <w:p w:rsidR="00FF0068" w:rsidRPr="00FF0068" w:rsidRDefault="00FF0068" w:rsidP="00FF0068"/>
    <w:p w:rsidR="005A2298" w:rsidRPr="00F67044" w:rsidRDefault="005A2298" w:rsidP="005A2298">
      <w:pPr>
        <w:pStyle w:val="ListParagraph"/>
        <w:ind w:left="1440"/>
        <w:rPr>
          <w:rFonts w:cs="Times New Roman"/>
          <w:szCs w:val="24"/>
        </w:rPr>
      </w:pPr>
      <w:r>
        <w:rPr>
          <w:rFonts w:cs="Times New Roman"/>
          <w:szCs w:val="24"/>
        </w:rPr>
        <w:t xml:space="preserve"> </w:t>
      </w:r>
    </w:p>
    <w:p w:rsidR="000A7A74" w:rsidRDefault="00F67044" w:rsidP="00F67044">
      <w:pPr>
        <w:pStyle w:val="ListParagraph"/>
        <w:ind w:left="1440"/>
      </w:pPr>
      <w:r>
        <w:t xml:space="preserve"> </w:t>
      </w:r>
    </w:p>
    <w:p w:rsidR="00EB0F71" w:rsidRDefault="00EB0F71" w:rsidP="00F67044">
      <w:pPr>
        <w:pStyle w:val="ListParagraph"/>
        <w:ind w:left="1440"/>
      </w:pPr>
    </w:p>
    <w:p w:rsidR="00EB0F71" w:rsidRDefault="00EB0F71" w:rsidP="00F67044">
      <w:pPr>
        <w:pStyle w:val="ListParagraph"/>
        <w:ind w:left="1440"/>
      </w:pPr>
    </w:p>
    <w:p w:rsidR="00EB0F71" w:rsidRDefault="00EB0F71" w:rsidP="00F67044">
      <w:pPr>
        <w:pStyle w:val="ListParagraph"/>
        <w:ind w:left="1440"/>
      </w:pPr>
    </w:p>
    <w:p w:rsidR="00EB0F71" w:rsidRDefault="00EB0F71" w:rsidP="00F67044">
      <w:pPr>
        <w:pStyle w:val="ListParagraph"/>
        <w:ind w:left="1440"/>
      </w:pPr>
    </w:p>
    <w:p w:rsidR="00EB0F71" w:rsidRDefault="00EB0F71" w:rsidP="00F67044">
      <w:pPr>
        <w:pStyle w:val="ListParagraph"/>
        <w:ind w:left="1440"/>
      </w:pPr>
    </w:p>
    <w:p w:rsidR="00EB0F71" w:rsidRDefault="00EB0F71" w:rsidP="00F67044">
      <w:pPr>
        <w:pStyle w:val="ListParagraph"/>
        <w:ind w:left="1440"/>
      </w:pPr>
    </w:p>
    <w:p w:rsidR="00EB0F71" w:rsidRDefault="00EB0F71"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595727" w:rsidRDefault="00595727" w:rsidP="00F67044">
      <w:pPr>
        <w:pStyle w:val="ListParagraph"/>
        <w:ind w:left="1440"/>
      </w:pPr>
    </w:p>
    <w:p w:rsidR="00EB0F71" w:rsidRDefault="00EB0F71" w:rsidP="00EB0F71">
      <w:pPr>
        <w:pStyle w:val="ListParagraph"/>
        <w:ind w:left="0"/>
        <w:jc w:val="center"/>
      </w:pPr>
      <w:r>
        <w:lastRenderedPageBreak/>
        <w:t xml:space="preserve">Reference List </w:t>
      </w:r>
    </w:p>
    <w:p w:rsidR="00595727" w:rsidRDefault="00595727" w:rsidP="00EB0F71">
      <w:pPr>
        <w:pStyle w:val="ListParagraph"/>
        <w:ind w:left="0"/>
        <w:jc w:val="center"/>
      </w:pPr>
    </w:p>
    <w:p w:rsidR="00595727" w:rsidRPr="00595727" w:rsidRDefault="00595727" w:rsidP="00595727">
      <w:pPr>
        <w:pStyle w:val="ListParagraph"/>
        <w:numPr>
          <w:ilvl w:val="0"/>
          <w:numId w:val="3"/>
        </w:numPr>
      </w:pPr>
      <w:r w:rsidRPr="00595727">
        <w:t xml:space="preserve">People v. Reilly  </w:t>
      </w:r>
    </w:p>
    <w:p w:rsidR="00595727" w:rsidRDefault="00595727" w:rsidP="00595727">
      <w:pPr>
        <w:spacing w:after="0"/>
        <w:rPr>
          <w:rFonts w:eastAsia="Times New Roman" w:cs="Times New Roman"/>
          <w:szCs w:val="24"/>
        </w:rPr>
      </w:pPr>
      <w:r w:rsidRPr="00DC27C2">
        <w:rPr>
          <w:rFonts w:eastAsia="Times New Roman" w:cs="Times New Roman"/>
          <w:szCs w:val="24"/>
        </w:rPr>
        <w:t>The People of the State of New York, Plaintiff, v. James A. Reilly, Jr., Defendant</w:t>
      </w:r>
    </w:p>
    <w:p w:rsidR="00595727" w:rsidRDefault="00595727" w:rsidP="00595727">
      <w:pPr>
        <w:spacing w:after="0"/>
        <w:jc w:val="center"/>
        <w:rPr>
          <w:rFonts w:eastAsia="Times New Roman" w:cs="Times New Roman"/>
          <w:szCs w:val="24"/>
        </w:rPr>
      </w:pPr>
    </w:p>
    <w:p w:rsidR="00595727" w:rsidRPr="00DC27C2" w:rsidRDefault="00595727" w:rsidP="00595727">
      <w:pPr>
        <w:spacing w:after="0"/>
        <w:rPr>
          <w:rFonts w:eastAsia="Times New Roman" w:cs="Times New Roman"/>
          <w:szCs w:val="24"/>
        </w:rPr>
      </w:pPr>
      <w:proofErr w:type="gramStart"/>
      <w:r>
        <w:t>85 Misc. 2d 702; 381 N.Y.S.2d 732; 1976 N.Y. Misc. LEXIS 2045.</w:t>
      </w:r>
      <w:proofErr w:type="gramEnd"/>
      <w:r>
        <w:t xml:space="preserve"> LexisNexis Academic. </w:t>
      </w:r>
    </w:p>
    <w:p w:rsidR="00595727" w:rsidRDefault="00595727" w:rsidP="00595727">
      <w:pPr>
        <w:pStyle w:val="ListParagraph"/>
      </w:pPr>
    </w:p>
    <w:p w:rsidR="00595727" w:rsidRPr="00595727" w:rsidRDefault="00595727" w:rsidP="00595727">
      <w:pPr>
        <w:pStyle w:val="ListParagraph"/>
        <w:numPr>
          <w:ilvl w:val="0"/>
          <w:numId w:val="3"/>
        </w:numPr>
      </w:pPr>
      <w:r w:rsidRPr="00595727">
        <w:t>State of North Carolina v. Mitchell</w:t>
      </w:r>
    </w:p>
    <w:p w:rsidR="00595727" w:rsidRDefault="00595727" w:rsidP="00595727">
      <w:r>
        <w:t>State of North Carolina v. Herman Mitchell Court of Appeals of North C</w:t>
      </w:r>
      <w:r w:rsidRPr="00DC27C2">
        <w:t>arolina</w:t>
      </w:r>
    </w:p>
    <w:p w:rsidR="00595727" w:rsidRDefault="00595727" w:rsidP="00595727">
      <w:proofErr w:type="gramStart"/>
      <w:r>
        <w:t>6 N.C. App. 534; 170 S.E.2d 355; 1969 N.C. App. LEXIS 1222.</w:t>
      </w:r>
      <w:proofErr w:type="gramEnd"/>
      <w:r>
        <w:t xml:space="preserve"> LexisNexis Academic. State v. Rudy </w:t>
      </w:r>
    </w:p>
    <w:p w:rsidR="00595727" w:rsidRDefault="00595727" w:rsidP="00595727">
      <w:pPr>
        <w:pStyle w:val="ListParagraph"/>
        <w:numPr>
          <w:ilvl w:val="0"/>
          <w:numId w:val="3"/>
        </w:numPr>
      </w:pPr>
      <w:r>
        <w:t xml:space="preserve">State of Ohio v. Rudy </w:t>
      </w:r>
    </w:p>
    <w:p w:rsidR="00595727" w:rsidRDefault="00595727" w:rsidP="00595727">
      <w:pPr>
        <w:jc w:val="left"/>
        <w:rPr>
          <w:rFonts w:eastAsia="Times New Roman" w:cs="Times New Roman"/>
          <w:szCs w:val="24"/>
        </w:rPr>
      </w:pPr>
      <w:r>
        <w:rPr>
          <w:rFonts w:eastAsia="Times New Roman" w:cs="Times New Roman"/>
          <w:szCs w:val="24"/>
        </w:rPr>
        <w:t>The State of Ohio, Appellee, v</w:t>
      </w:r>
      <w:r w:rsidRPr="00CB7CF0">
        <w:rPr>
          <w:rFonts w:eastAsia="Times New Roman" w:cs="Times New Roman"/>
          <w:szCs w:val="24"/>
        </w:rPr>
        <w:t>. Rudy, Appellant</w:t>
      </w:r>
      <w:r>
        <w:rPr>
          <w:rFonts w:eastAsia="Times New Roman" w:cs="Times New Roman"/>
          <w:szCs w:val="24"/>
        </w:rPr>
        <w:t xml:space="preserve"> </w:t>
      </w:r>
      <w:r w:rsidRPr="00CB7CF0">
        <w:rPr>
          <w:rFonts w:eastAsia="Times New Roman" w:cs="Times New Roman"/>
          <w:szCs w:val="24"/>
        </w:rPr>
        <w:t>Court of Appeals of Ohio, Ninth Appellate District, Summit County</w:t>
      </w:r>
    </w:p>
    <w:p w:rsidR="00595727" w:rsidRDefault="00595727" w:rsidP="00EB0F71">
      <w:pPr>
        <w:pStyle w:val="ListParagraph"/>
        <w:ind w:left="0"/>
        <w:jc w:val="center"/>
      </w:pPr>
    </w:p>
    <w:p w:rsidR="00EB0F71" w:rsidRPr="003C5DB4" w:rsidRDefault="00EB0F71" w:rsidP="00EB0F71">
      <w:pPr>
        <w:rPr>
          <w:u w:val="single"/>
        </w:rPr>
      </w:pPr>
      <w:proofErr w:type="gramStart"/>
      <w:r w:rsidRPr="003C5DB4">
        <w:rPr>
          <w:u w:val="single"/>
        </w:rPr>
        <w:t>13 New Crim. L. R. 665.</w:t>
      </w:r>
      <w:proofErr w:type="gramEnd"/>
      <w:r w:rsidRPr="003C5DB4">
        <w:rPr>
          <w:u w:val="single"/>
        </w:rPr>
        <w:t xml:space="preserve"> Retrieved from </w:t>
      </w:r>
      <w:hyperlink r:id="rId7" w:history="1">
        <w:r w:rsidRPr="003C5DB4">
          <w:rPr>
            <w:rStyle w:val="Hyperlink"/>
            <w:color w:val="auto"/>
          </w:rPr>
          <w:t>www.lexisnexis.com/hottopics/lnacademic</w:t>
        </w:r>
      </w:hyperlink>
    </w:p>
    <w:p w:rsidR="00EB0F71" w:rsidRPr="00DD124A" w:rsidRDefault="00EB0F71" w:rsidP="00EB0F71">
      <w:r w:rsidRPr="00DD124A">
        <w:t xml:space="preserve">2010 University of California Criminal Law review pertaining to the consent age being raised in Canada for various sexual harassments and endangering.  Statutorily rape cases and online luring of minors were the topics most frequently discussed in this review.   </w:t>
      </w:r>
    </w:p>
    <w:p w:rsidR="00EB0F71" w:rsidRPr="003C5DB4" w:rsidRDefault="00EB0F71" w:rsidP="00EB0F71">
      <w:pPr>
        <w:spacing w:after="0"/>
        <w:jc w:val="left"/>
        <w:rPr>
          <w:rFonts w:eastAsia="Times New Roman" w:cs="Times New Roman"/>
          <w:szCs w:val="24"/>
          <w:u w:val="single"/>
        </w:rPr>
      </w:pPr>
      <w:proofErr w:type="gramStart"/>
      <w:r w:rsidRPr="006106B4">
        <w:rPr>
          <w:rFonts w:eastAsia="Times New Roman" w:cs="Times New Roman"/>
          <w:szCs w:val="24"/>
          <w:u w:val="single"/>
        </w:rPr>
        <w:t xml:space="preserve">117 </w:t>
      </w:r>
      <w:proofErr w:type="spellStart"/>
      <w:r w:rsidRPr="006106B4">
        <w:rPr>
          <w:rFonts w:eastAsia="Times New Roman" w:cs="Times New Roman"/>
          <w:szCs w:val="24"/>
          <w:u w:val="single"/>
        </w:rPr>
        <w:t>Harv</w:t>
      </w:r>
      <w:proofErr w:type="spellEnd"/>
      <w:r w:rsidRPr="006106B4">
        <w:rPr>
          <w:rFonts w:eastAsia="Times New Roman" w:cs="Times New Roman"/>
          <w:szCs w:val="24"/>
          <w:u w:val="single"/>
        </w:rPr>
        <w:t>.</w:t>
      </w:r>
      <w:proofErr w:type="gramEnd"/>
      <w:r w:rsidRPr="006106B4">
        <w:rPr>
          <w:rFonts w:eastAsia="Times New Roman" w:cs="Times New Roman"/>
          <w:szCs w:val="24"/>
          <w:u w:val="single"/>
        </w:rPr>
        <w:t xml:space="preserve"> L. Rev. 2341. Retrieved from </w:t>
      </w:r>
      <w:hyperlink r:id="rId8" w:history="1">
        <w:r w:rsidRPr="003C5DB4">
          <w:rPr>
            <w:rStyle w:val="Hyperlink"/>
            <w:rFonts w:eastAsia="Times New Roman" w:cs="Times New Roman"/>
            <w:color w:val="auto"/>
            <w:szCs w:val="24"/>
          </w:rPr>
          <w:t>www.lexisnexis.com/hottopics/lnacademic</w:t>
        </w:r>
      </w:hyperlink>
    </w:p>
    <w:p w:rsidR="00EB0F71" w:rsidRPr="00DD124A" w:rsidRDefault="00EB0F71" w:rsidP="00EB0F71">
      <w:pPr>
        <w:spacing w:after="0"/>
        <w:jc w:val="left"/>
        <w:rPr>
          <w:rFonts w:eastAsia="Times New Roman" w:cs="Times New Roman"/>
          <w:szCs w:val="24"/>
        </w:rPr>
      </w:pPr>
    </w:p>
    <w:p w:rsidR="00EB0F71" w:rsidRPr="00DD124A" w:rsidRDefault="00EB0F71" w:rsidP="00EB0F71">
      <w:pPr>
        <w:spacing w:after="0"/>
        <w:jc w:val="left"/>
        <w:rPr>
          <w:rFonts w:eastAsia="Times New Roman" w:cs="Times New Roman"/>
          <w:szCs w:val="24"/>
        </w:rPr>
      </w:pPr>
      <w:r w:rsidRPr="00DD124A">
        <w:rPr>
          <w:rFonts w:eastAsia="Times New Roman" w:cs="Times New Roman"/>
          <w:szCs w:val="24"/>
        </w:rPr>
        <w:t>2004 Harvard Law Review Association reviewed the California case The People v. Ray.  This case discusses what should be interpreted when a women gives her consent.  How far does the extent of a women’s consent go? Are there multiple sexual acts each requiring an individual consent?  (</w:t>
      </w:r>
      <w:proofErr w:type="spellStart"/>
      <w:proofErr w:type="gramStart"/>
      <w:r w:rsidRPr="00DD124A">
        <w:rPr>
          <w:rFonts w:eastAsia="Times New Roman" w:cs="Times New Roman"/>
          <w:szCs w:val="24"/>
        </w:rPr>
        <w:t>e.g</w:t>
      </w:r>
      <w:proofErr w:type="spellEnd"/>
      <w:proofErr w:type="gramEnd"/>
      <w:r w:rsidRPr="00DD124A">
        <w:rPr>
          <w:rFonts w:eastAsia="Times New Roman" w:cs="Times New Roman"/>
          <w:szCs w:val="24"/>
        </w:rPr>
        <w:t xml:space="preserve"> Does a women need to provide consent for oral and sexual intercourse or is one “yes” enough?)  </w:t>
      </w:r>
    </w:p>
    <w:p w:rsidR="00EB0F71" w:rsidRPr="006106B4" w:rsidRDefault="00EB0F71" w:rsidP="00EB0F71">
      <w:pPr>
        <w:spacing w:after="0"/>
        <w:jc w:val="left"/>
        <w:rPr>
          <w:rFonts w:eastAsia="Times New Roman" w:cs="Times New Roman"/>
          <w:szCs w:val="24"/>
        </w:rPr>
      </w:pPr>
    </w:p>
    <w:p w:rsidR="00EB0F71" w:rsidRPr="003C5DB4" w:rsidRDefault="00EB0F71" w:rsidP="00EB0F71">
      <w:pPr>
        <w:rPr>
          <w:u w:val="single"/>
        </w:rPr>
      </w:pPr>
      <w:proofErr w:type="gramStart"/>
      <w:r w:rsidRPr="003C5DB4">
        <w:rPr>
          <w:u w:val="single"/>
        </w:rPr>
        <w:t xml:space="preserve">39 U. </w:t>
      </w:r>
      <w:proofErr w:type="spellStart"/>
      <w:r w:rsidRPr="003C5DB4">
        <w:rPr>
          <w:u w:val="single"/>
        </w:rPr>
        <w:t>Balt</w:t>
      </w:r>
      <w:proofErr w:type="spellEnd"/>
      <w:r w:rsidRPr="003C5DB4">
        <w:rPr>
          <w:u w:val="single"/>
        </w:rPr>
        <w:t>.</w:t>
      </w:r>
      <w:proofErr w:type="gramEnd"/>
      <w:r w:rsidRPr="003C5DB4">
        <w:rPr>
          <w:u w:val="single"/>
        </w:rPr>
        <w:t xml:space="preserve"> </w:t>
      </w:r>
      <w:proofErr w:type="gramStart"/>
      <w:r w:rsidRPr="003C5DB4">
        <w:rPr>
          <w:u w:val="single"/>
        </w:rPr>
        <w:t>L.F. 114.</w:t>
      </w:r>
      <w:proofErr w:type="gramEnd"/>
      <w:r w:rsidRPr="003C5DB4">
        <w:rPr>
          <w:u w:val="single"/>
        </w:rPr>
        <w:t xml:space="preserve"> Retrieved from </w:t>
      </w:r>
      <w:hyperlink r:id="rId9" w:history="1">
        <w:r w:rsidRPr="003C5DB4">
          <w:rPr>
            <w:rStyle w:val="Hyperlink"/>
            <w:color w:val="auto"/>
          </w:rPr>
          <w:t>www.lexisnexis.com/hottopics/lnacademic</w:t>
        </w:r>
      </w:hyperlink>
    </w:p>
    <w:p w:rsidR="00EB0F71" w:rsidRDefault="00EB0F71" w:rsidP="00EB0F71">
      <w:r>
        <w:t xml:space="preserve">The University of Baltimore Law forum discusses the State v. Baby case, in which the court oversaw an argument for women to be able to withdraw consent after penetration has begun.   If the partner refuses to stop or continues the sexual act after </w:t>
      </w:r>
      <w:proofErr w:type="gramStart"/>
      <w:r>
        <w:t>the withdraw</w:t>
      </w:r>
      <w:proofErr w:type="gramEnd"/>
      <w:r>
        <w:t xml:space="preserve"> of consent, then this partner will be charged with rape.  </w:t>
      </w:r>
    </w:p>
    <w:p w:rsidR="00EB0F71" w:rsidRPr="00B06F1B" w:rsidRDefault="00EB0F71" w:rsidP="00EB0F71">
      <w:pPr>
        <w:pStyle w:val="ListParagraph"/>
        <w:ind w:left="0"/>
        <w:jc w:val="center"/>
        <w:rPr>
          <w:rFonts w:cs="Times New Roman"/>
          <w:szCs w:val="24"/>
        </w:rPr>
      </w:pPr>
    </w:p>
    <w:sectPr w:rsidR="00EB0F71" w:rsidRPr="00B0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2FCF"/>
    <w:multiLevelType w:val="hybridMultilevel"/>
    <w:tmpl w:val="0D1A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65252"/>
    <w:multiLevelType w:val="hybridMultilevel"/>
    <w:tmpl w:val="00369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4697D"/>
    <w:multiLevelType w:val="hybridMultilevel"/>
    <w:tmpl w:val="C068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52"/>
    <w:rsid w:val="00073FE6"/>
    <w:rsid w:val="00093A7A"/>
    <w:rsid w:val="000A7A74"/>
    <w:rsid w:val="000F0636"/>
    <w:rsid w:val="00116997"/>
    <w:rsid w:val="00183E26"/>
    <w:rsid w:val="00262382"/>
    <w:rsid w:val="00312052"/>
    <w:rsid w:val="003864A0"/>
    <w:rsid w:val="00595727"/>
    <w:rsid w:val="005A2298"/>
    <w:rsid w:val="00627863"/>
    <w:rsid w:val="00637729"/>
    <w:rsid w:val="00706D13"/>
    <w:rsid w:val="0079076D"/>
    <w:rsid w:val="00AB15FC"/>
    <w:rsid w:val="00B00B1E"/>
    <w:rsid w:val="00B06F1B"/>
    <w:rsid w:val="00B2321A"/>
    <w:rsid w:val="00BF420F"/>
    <w:rsid w:val="00C3682E"/>
    <w:rsid w:val="00CE10BE"/>
    <w:rsid w:val="00CE31F7"/>
    <w:rsid w:val="00DB5DB8"/>
    <w:rsid w:val="00E00BB9"/>
    <w:rsid w:val="00EB0F71"/>
    <w:rsid w:val="00F67044"/>
    <w:rsid w:val="00FF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3"/>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957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0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20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05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A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A74"/>
    <w:rPr>
      <w:rFonts w:ascii="Courier New" w:eastAsia="Times New Roman" w:hAnsi="Courier New" w:cs="Courier New"/>
      <w:sz w:val="20"/>
      <w:szCs w:val="20"/>
    </w:rPr>
  </w:style>
  <w:style w:type="character" w:styleId="Hyperlink">
    <w:name w:val="Hyperlink"/>
    <w:basedOn w:val="DefaultParagraphFont"/>
    <w:uiPriority w:val="99"/>
    <w:unhideWhenUsed/>
    <w:rsid w:val="00B06F1B"/>
    <w:rPr>
      <w:color w:val="0000FF"/>
      <w:u w:val="single"/>
    </w:rPr>
  </w:style>
  <w:style w:type="paragraph" w:styleId="ListParagraph">
    <w:name w:val="List Paragraph"/>
    <w:basedOn w:val="Normal"/>
    <w:uiPriority w:val="34"/>
    <w:qFormat/>
    <w:rsid w:val="00B00B1E"/>
    <w:pPr>
      <w:ind w:left="720"/>
      <w:contextualSpacing/>
    </w:pPr>
  </w:style>
  <w:style w:type="character" w:customStyle="1" w:styleId="hit">
    <w:name w:val="hit"/>
    <w:basedOn w:val="DefaultParagraphFont"/>
    <w:rsid w:val="00E00BB9"/>
  </w:style>
  <w:style w:type="character" w:customStyle="1" w:styleId="Heading4Char">
    <w:name w:val="Heading 4 Char"/>
    <w:basedOn w:val="DefaultParagraphFont"/>
    <w:link w:val="Heading4"/>
    <w:uiPriority w:val="9"/>
    <w:semiHidden/>
    <w:rsid w:val="0059572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3"/>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957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0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20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05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A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A74"/>
    <w:rPr>
      <w:rFonts w:ascii="Courier New" w:eastAsia="Times New Roman" w:hAnsi="Courier New" w:cs="Courier New"/>
      <w:sz w:val="20"/>
      <w:szCs w:val="20"/>
    </w:rPr>
  </w:style>
  <w:style w:type="character" w:styleId="Hyperlink">
    <w:name w:val="Hyperlink"/>
    <w:basedOn w:val="DefaultParagraphFont"/>
    <w:uiPriority w:val="99"/>
    <w:unhideWhenUsed/>
    <w:rsid w:val="00B06F1B"/>
    <w:rPr>
      <w:color w:val="0000FF"/>
      <w:u w:val="single"/>
    </w:rPr>
  </w:style>
  <w:style w:type="paragraph" w:styleId="ListParagraph">
    <w:name w:val="List Paragraph"/>
    <w:basedOn w:val="Normal"/>
    <w:uiPriority w:val="34"/>
    <w:qFormat/>
    <w:rsid w:val="00B00B1E"/>
    <w:pPr>
      <w:ind w:left="720"/>
      <w:contextualSpacing/>
    </w:pPr>
  </w:style>
  <w:style w:type="character" w:customStyle="1" w:styleId="hit">
    <w:name w:val="hit"/>
    <w:basedOn w:val="DefaultParagraphFont"/>
    <w:rsid w:val="00E00BB9"/>
  </w:style>
  <w:style w:type="character" w:customStyle="1" w:styleId="Heading4Char">
    <w:name w:val="Heading 4 Char"/>
    <w:basedOn w:val="DefaultParagraphFont"/>
    <w:link w:val="Heading4"/>
    <w:uiPriority w:val="9"/>
    <w:semiHidden/>
    <w:rsid w:val="0059572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81476">
      <w:bodyDiv w:val="1"/>
      <w:marLeft w:val="0"/>
      <w:marRight w:val="0"/>
      <w:marTop w:val="0"/>
      <w:marBottom w:val="0"/>
      <w:divBdr>
        <w:top w:val="none" w:sz="0" w:space="0" w:color="auto"/>
        <w:left w:val="none" w:sz="0" w:space="0" w:color="auto"/>
        <w:bottom w:val="none" w:sz="0" w:space="0" w:color="auto"/>
        <w:right w:val="none" w:sz="0" w:space="0" w:color="auto"/>
      </w:divBdr>
    </w:div>
    <w:div w:id="1238982574">
      <w:bodyDiv w:val="1"/>
      <w:marLeft w:val="0"/>
      <w:marRight w:val="0"/>
      <w:marTop w:val="0"/>
      <w:marBottom w:val="0"/>
      <w:divBdr>
        <w:top w:val="none" w:sz="0" w:space="0" w:color="auto"/>
        <w:left w:val="none" w:sz="0" w:space="0" w:color="auto"/>
        <w:bottom w:val="none" w:sz="0" w:space="0" w:color="auto"/>
        <w:right w:val="none" w:sz="0" w:space="0" w:color="auto"/>
      </w:divBdr>
    </w:div>
    <w:div w:id="1514684691">
      <w:bodyDiv w:val="1"/>
      <w:marLeft w:val="0"/>
      <w:marRight w:val="0"/>
      <w:marTop w:val="0"/>
      <w:marBottom w:val="0"/>
      <w:divBdr>
        <w:top w:val="none" w:sz="0" w:space="0" w:color="auto"/>
        <w:left w:val="none" w:sz="0" w:space="0" w:color="auto"/>
        <w:bottom w:val="none" w:sz="0" w:space="0" w:color="auto"/>
        <w:right w:val="none" w:sz="0" w:space="0" w:color="auto"/>
      </w:divBdr>
    </w:div>
    <w:div w:id="1840270200">
      <w:bodyDiv w:val="1"/>
      <w:marLeft w:val="0"/>
      <w:marRight w:val="0"/>
      <w:marTop w:val="0"/>
      <w:marBottom w:val="0"/>
      <w:divBdr>
        <w:top w:val="none" w:sz="0" w:space="0" w:color="auto"/>
        <w:left w:val="none" w:sz="0" w:space="0" w:color="auto"/>
        <w:bottom w:val="none" w:sz="0" w:space="0" w:color="auto"/>
        <w:right w:val="none" w:sz="0" w:space="0" w:color="auto"/>
      </w:divBdr>
    </w:div>
    <w:div w:id="201884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hottopics/lnacademic" TargetMode="External"/><Relationship Id="rId3" Type="http://schemas.microsoft.com/office/2007/relationships/stylesWithEffects" Target="stylesWithEffects.xml"/><Relationship Id="rId7" Type="http://schemas.openxmlformats.org/officeDocument/2006/relationships/hyperlink" Target="http://www.lexisnexis.com/hottopics/lnacadem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sangelescriminallawyer.pro/lawyer-attorney-1354905.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exisnexis.com/hottopics/lnac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Hall, Noah</cp:lastModifiedBy>
  <cp:revision>2</cp:revision>
  <dcterms:created xsi:type="dcterms:W3CDTF">2014-12-19T02:33:00Z</dcterms:created>
  <dcterms:modified xsi:type="dcterms:W3CDTF">2014-12-19T02:33:00Z</dcterms:modified>
</cp:coreProperties>
</file>