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tbl>
      <w:tblPr>
        <w:tblW w:type="dxa" w:w="10725"/>
        <w:tblLayout w:type="fixed"/>
        <w:tblLook w:firstColumn="1" w:firstRow="1" w:lastColumn="0" w:lastRow="0" w:noHBand="0" w:noVBand="1" w:val="04A0"/>
        <w:tblBorders>
          <w:top w:val="nil"/>
          <w:left w:val="nil"/>
          <w:bottom w:val="nil"/>
          <w:right w:val="nil"/>
          <w:insideH w:val="nil"/>
          <w:insideV w:val="nil"/>
        </w:tblBorders>
      </w:tblPr>
      <w:tblGrid>
        <w:gridCol w:w="1300"/>
        <w:gridCol w:w="8125"/>
        <w:gridCol w:w="1300"/>
      </w:tblGrid>
      <w:tr>
        <w:tc>
          <w:tcPr>
            <w:tcW w:type="dxa" w:w="1300"/>
            <w:vAlign w:val="center"/>
            <w:tcMar>
              <w:top w:w="0" w:type="dxa"/>
              <w:start w:w="0" w:type="dxa"/>
              <w:bottom w:w="0" w:type="dxa"/>
              <w:end w:w="0" w:type="dxa"/>
            </w:tcMar>
          </w:tcPr>
          <w:p>
            <w:pPr>
              <w:spacing w:before="0" w:after="0"/>
              <w:jc w:val="center"/>
            </w:pPr>
            <w:r/>
            <w:r>
              <w:drawing>
                <wp:inline>
                  <wp:extent cx="749808" cy="749808"/>
                  <wp:docPr id="1073741842" name="Picture 107374184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749808" cy="749808"/>
                          </a:xfrm>
                          <a:prstGeom prst="rect"/>
                        </pic:spPr>
                      </pic:pic>
                    </a:graphicData>
                  </a:graphic>
                </wp:inline>
              </w:drawing>
            </w:r>
          </w:p>
        </w:tc>
        <w:tc>
          <w:tcPr>
            <w:tcW w:type="dxa" w:w="8125"/>
            <w:vAlign w:val="center"/>
            <w:tcMar>
              <w:top w:w="0" w:type="dxa"/>
              <w:start w:w="0" w:type="dxa"/>
              <w:bottom w:w="0" w:type="dxa"/>
              <w:end w:w="0" w:type="dxa"/>
            </w:tcMar>
          </w:tcPr>
          <w:p>
            <w:pPr>
              <w:spacing w:before="0" w:after="40"/>
              <w:jc w:val="center"/>
            </w:pPr>
            <w:r/>
            <w:r>
              <w:rPr>
                <w:rFonts w:ascii="Arimo" w:hAnsi="Arimo"/>
                <w:color w:val="000000"/>
                <w:sz w:val="36"/>
              </w:rPr>
              <w:t>MEMORANDUM OF UNDERSTANDING</w:t>
            </w:r>
          </w:p>
          <w:p>
            <w:pPr>
              <w:spacing w:before="0" w:after="0"/>
              <w:jc w:val="center"/>
            </w:pPr>
            <w:r>
              <w:rPr>
                <w:rFonts w:ascii="Arimo" w:hAnsi="Arimo"/>
                <w:b w:val="0"/>
                <w:color w:val="222222"/>
                <w:sz w:val="24"/>
              </w:rPr>
              <w:t xml:space="preserve">Between </w:t>
            </w:r>
            <w:r>
              <w:rPr>
                <w:rFonts w:ascii="Arimo" w:hAnsi="Arimo"/>
                <w:b/>
                <w:color w:val="222222"/>
                <w:sz w:val="24"/>
              </w:rPr>
              <w:t>{{school_name}}</w:t>
            </w:r>
            <w:r>
              <w:rPr>
                <w:rFonts w:ascii="Arimo" w:hAnsi="Arimo"/>
                <w:b w:val="0"/>
                <w:color w:val="222222"/>
                <w:sz w:val="24"/>
              </w:rPr>
              <w:t xml:space="preserve"> and Latinos In Action</w:t>
            </w:r>
          </w:p>
        </w:tc>
        <w:tc>
          <w:tcPr>
            <w:tcW w:type="dxa" w:w="1300"/>
            <w:vAlign w:val="center"/>
            <w:tcMar>
              <w:top w:w="0" w:type="dxa"/>
              <w:start w:w="0" w:type="dxa"/>
              <w:bottom w:w="0" w:type="dxa"/>
              <w:end w:w="0" w:type="dxa"/>
            </w:tcMar>
          </w:tcPr>
          <w:p/>
        </w:tc>
      </w:tr>
    </w:tbl>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mission of Latinos In Action is to empower our amazing youth to lead and strengthen their communities. </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16"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 achieve this through culturally responsive social emotional learning, college and career readiness, and leadership development.</w:t>
      </w:r>
      <w:r w:rsidDel="00000000" w:rsidR="00000000" w:rsidRPr="00000000">
        <w:rPr>
          <w:rtl w:val="0"/>
        </w:rPr>
      </w:r>
      <w:r w:rsidDel="00000000" w:rsidR="00000000" w:rsidRPr="00000000">
        <mc:AlternateContent>
          <mc:Choice Requires="wps">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
                <a:graphic>
                  <a:graphicData uri="http://schemas.microsoft.com/office/word/2010/wordprocessingShape">
                    <wps:wsp>
                      <wps:cNvCnPr/>
                      <wps:spPr>
                        <a:xfrm>
                          <a:off x="3443096" y="3780000"/>
                          <a:ext cx="3805809" cy="0"/>
                        </a:xfrm>
                        <a:prstGeom prst="straightConnector1">
                          <a:avLst/>
                        </a:prstGeom>
                        <a:noFill/>
                        <a:ln cap="flat" cmpd="sng" w="9525">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(LIA) model has proven effective in classrooms throughout the United States. When the program is implemented with fidelity, students gain the self-awareness and self-management skills necessary to succeed in education and in life. They become leaders in their communities by rendering service and utilizing their cultural assets.</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Having the support of the school district where LIA classrooms are implemented is essential to the continuing growth, sustainability, data analysis, and outcomes of LIA.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 order to implement the LIA program with fidelity, Latinos In Action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to the following:</w:t>
      </w:r>
      <w:r w:rsidDel="00000000" w:rsidR="00000000" w:rsidRPr="00000000">
        <w:rPr>
          <w:rtl w:val="0"/>
        </w:rPr>
      </w:r>
    </w:p>
    <w:p w:rsidR="00000000" w:rsidDel="00000000" w:rsidP="00000000" w:rsidRDefault="00000000" w:rsidRPr="00000000" w14:paraId="0000000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LATINOS IN ACTION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Latinos In Action will provide the following resources and services: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LAUNCHING LIA SUPPORT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Helvetica Neue" w:cs="Helvetica Neue" w:eastAsia="Helvetica Neue" w:hAnsi="Helvetica Neue"/>
          <w:b w:val="1"/>
          <w:bCs w:val="1"/>
          <w:i w:val="0"/>
          <w:iCs w:val="0"/>
          <w:smallCaps w:val="0"/>
          <w:strike w:val="0"/>
          <w:color w:val="ff26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1 – On-boarding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*One-time travel costs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Initial Launch Meeting</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Please ensure the following individuals are present: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administrators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2-3 potential teachers</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school counselor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0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principal and reading coach/literacy specialist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60" w:before="0" w:line="240" w:lineRule="auto"/>
        <w:ind w:left="1113" w:right="0" w:hanging="393"/>
        <w:jc w:val="left"/>
        <w:rPr>
          <w:rFonts w:ascii="Helvetica Neue" w:cs="Helvetica Neue" w:eastAsia="Helvetica Neue" w:hAnsi="Helvetica Neue"/>
          <w:b w:val="0"/>
          <w:bCs w:val="0"/>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upon and sign a Memorandum of Understanding. </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Planning Meeting </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After the MOU is signed, LIA staff visit or conference call with an administrator, a counselor, and the LIA teacher to plan the implementation steps.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2 – New Teacher Orientation</w:t>
      </w:r>
    </w:p>
    <w:p w:rsidR="00000000" w:rsidDel="00000000" w:rsidP="00000000" w:rsidRDefault="00000000" w:rsidRPr="00000000" w14:paraId="0000001D">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Training Module and video conference call with LIA staff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240" w:before="0" w:line="259"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Summer Educator Institute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3 – Elementary/Middle/High School Partnership</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26"/>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meet with LIA teacher and school liaison to establish the tutoring partnership</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4 – Founder Visits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Year 1, Dr. Jose Enriquez presents to the LIA classes to set expectations and motivate students.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5 - Program Materials, Assistance, and Training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 Career Readiness Curriculum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75 Lesson Plans for High School; 70 Lesson Plans for Elementary/Middle School/High School</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Unit plans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Links to additional online resources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Crosswalk detailing fulfillment of Core and WIDA standards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Continually improved curriculum </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Targeted EL help</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Project-Based Unit Assessments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Technical Assistance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Regional Program Manager provides the following: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1440" w:right="81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Regional Program Manager works to implement LIA programming with fidelity in LIA partner schools and districts for a specified region. S/he conducts the New Teacher Orientation, supports the teacher throughout the year, helps connect schools with community partners, and provides other local resources and support.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Program Manual and implementation materials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to LIA staff for support </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Conference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Full-day celebration and workshops on college campus (LIA Conference).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for students to apply for LIA scholarships and to participate in writing, visual and dance competitions, and other organization-wide activities.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29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Educator Institute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1080" w:right="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(District / School pays travel costs) </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Innovative LIA teacher training held annually in Utah and Florida</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Boot Camp (For LIA Presidency)</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Multi-day, professional training</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Lodging, Meals, T-shirts, Recreational Activities. </w:t>
      </w:r>
      <w:r w:rsidDel="00000000" w:rsidR="00000000" w:rsidRPr="00000000">
        <w:rPr>
          <w:rtl w:val="0"/>
        </w:rPr>
      </w:r>
    </w:p>
    <w:p w:rsidR="00000000" w:rsidDel="00000000" w:rsidP="00000000" w:rsidRDefault="00000000" w:rsidRPr="00000000" w14:paraId="0000003D">
      <w:pPr>
        <w:keepNext/>
        <w:keepLines w:val="0"/>
        <w:pageBreakBefore w:val="0"/>
        <w:widowControl w:val="1"/>
        <w:pBdr>
          <w:top w:space="0" w:sz="0" w:val="nil"/>
          <w:left w:space="0" w:sz="0" w:val="nil"/>
          <w:bottom w:space="0" w:sz="0" w:val="nil"/>
          <w:right w:space="0" w:sz="0" w:val="nil"/>
          <w:between w:space="0" w:sz="0" w:val="nil"/>
        </w:pBdr>
        <w:shd w:fill="auto" w:val="clear"/>
        <w:spacing w:after="120" w:before="160" w:line="264"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bCs w:val="1"/>
          <w:i w:val="0"/>
          <w:iCs w:val="0"/>
          <w:smallCaps w:val="0"/>
          <w:strike w:val="0"/>
          <w:color w:val="222222"/>
          <w:sz w:val="28"/>
          <w:szCs w:val="24"/>
          <w:u w:val="none"/>
          <w:shd w:fill="auto" w:val="clear"/>
          <w:vertAlign w:val="baseline"/>
          <w:rtl w:val="0"/>
        </w:rPr>
        <w:t>SCHOOL / DISTRICT RESPONSIBILITIES</w:t>
      </w:r>
      <w:r w:rsidDel="00000000" w:rsidR="00000000" w:rsidRPr="00000000">
        <w:rPr>
          <w:rFonts w:ascii="Arimo" w:hAnsi="Arimo"/>
          <w:b/>
          <w:color w:val="222222"/>
          <w:sz w:val="28"/>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best LIA schools are those who receive support from school district personnel. These school district representatives assist LIA in maintaining program fidelity at each school and can help schools find the resources necessary to sustain LIA on an annual basis.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Financial Support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Start up and annual School Membership Fees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Busing or other district approved transportation to elementary schools and LIA conferences</w:t>
      </w:r>
      <w:r w:rsidDel="00000000" w:rsidR="00000000" w:rsidRPr="00000000">
        <w:rPr>
          <w:rtl w:val="0"/>
        </w:rPr>
      </w:r>
    </w:p>
    <w:p w:rsidR="00000000" w:rsidDel="00000000" w:rsidP="00000000" w:rsidRDefault="00000000" w:rsidRPr="00000000" w14:paraId="00000042">
      <w:pPr>
        <w:keepNext/>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20" w:before="160" w:line="240" w:lineRule="auto"/>
        <w:ind w:left="0" w:right="0" w:hanging="215.99999999999994"/>
        <w:jc w:val="left"/>
        <w:rPr>
          <w:sz w:val="24"/>
          <w:szCs w:val="24"/>
          <w:u w:val="none"/>
        </w:rPr>
      </w:pPr>
      <w:r w:rsidDel="00000000" w:rsidR="00000000" w:rsidRPr="00000000">
        <w:rPr>
          <w:rFonts w:ascii="Arimo" w:cs="Arimo" w:eastAsia="Arimo" w:hAnsi="Arimo"/>
          <w:b/>
          <w:bCs w:val="0"/>
          <w:i w:val="0"/>
          <w:iCs w:val="0"/>
          <w:smallCaps w:val="0"/>
          <w:strike w:val="0"/>
          <w:color w:val="222222"/>
          <w:sz w:val="28"/>
          <w:szCs w:val="24"/>
          <w:u w:val="none"/>
          <w:shd w:fill="auto" w:val="clear"/>
          <w:vertAlign w:val="baseline"/>
          <w:rtl w:val="0"/>
        </w:rPr>
        <w:t xml:space="preserve">Substitute teacher(s) for each LIA teacher 1x/semester for a collaboration day</w:t>
      </w:r>
      <w:r w:rsidDel="00000000" w:rsidR="00000000" w:rsidRPr="00000000">
        <w:rPr>
          <w:rFonts w:ascii="Arimo" w:hAnsi="Arimo"/>
          <w:b/>
          <w:color w:val="222222"/>
          <w:sz w:val="28"/>
          <w:rtl w:val="0"/>
        </w:rPr>
      </w:r>
    </w:p>
    <w:p w:rsidR="00000000" w:rsidDel="00000000" w:rsidP="00000000" w:rsidRDefault="00000000" w:rsidRPr="00000000" w14:paraId="00000043">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Activities budget for each participating school</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Professional uniform for LIA students while tutoring (cost to be incurred by school/district).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 Administrative Support:</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District will assign a district-level person to act as the District Liaison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Data Support:</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Allows LIA to conduct pre and post teacher and student outcome surveys to ensure the fidelity of the LIA program. Survey results and measuring instrument shared with the school district upon request.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will work with LIA to formulate a data sharing agreement.</w:t>
      </w:r>
      <w:r w:rsidDel="00000000" w:rsidR="00000000" w:rsidRPr="00000000">
        <w:rPr>
          <w:rtl w:val="0"/>
        </w:rPr>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32"/>
          <w:szCs w:val="32"/>
          <w:u w:val="singl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IMPLEMENTATION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Currently,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intends to implement the LIA program at the following schools:</w:t>
      </w:r>
      <w:r w:rsidDel="00000000" w:rsidR="00000000" w:rsidRPr="00000000">
        <w:rPr>
          <w:rtl w:val="0"/>
        </w:rPr>
      </w:r>
    </w:p>
    <w:p w:rsidR="00000000" w:rsidDel="00000000" w:rsidP="00000000" w:rsidRDefault="00000000" w:rsidRPr="00000000" w14:paraId="0000004B">
      <w:pPr>
        <w:keepNext/>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99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{{school_name}}</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request to implement the LIA program at additional schools within the district must be approved in writing by LIA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prior to program implementation at the new school(s). Any additional school approvals must be attached to this agreement as an amendment.</w:t>
      </w: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INDIVIDUAL SCHOOL INVOLVEMENT</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Program Implementation</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classroom commits to the following:</w:t>
      </w:r>
      <w:r w:rsidDel="00000000" w:rsidR="00000000" w:rsidRPr="00000000">
        <w:rPr>
          <w:rtl w:val="0"/>
        </w:rPr>
      </w:r>
    </w:p>
    <w:p w:rsidR="00000000" w:rsidDel="00000000" w:rsidP="00000000" w:rsidRDefault="00000000" w:rsidRPr="00000000" w14:paraId="00000051">
      <w:pPr>
        <w:keepNext/>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8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Operate as a yearlong elective course with a maximum capacity of 30 students.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Understanding and agreement by the teacher, counselors, and school administration that LIA is not to be utilized as a remedial course, an ELD class, or a language class.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Avoidance of political ideology. It should NOT be taught in LIA classrooms; the focus is personal and cultural assets, education, service, and leadership.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model, curriculum, and brand are trademarked and may only be used through a subscription with Latinos In Action.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Highly Qualified teacher: A certified teacher, not a paraprofessional. Chosen with advisement of the LIA administrative staff by June 1 prior to the start of the school year.</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and administration agrees to immediately inform LIA staff if/when the LIA instructor is replaced with another teacher</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This teacher will complete LIA’s “New Teacher Orientation” and will also attend the annual Educator Institutes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2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agrees to respond in a timely manner to LIA requests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Four Essentials: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class composition should include academic diversity. The following 30/40/30 ratio is preferred but not required:</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are advanced learners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40% of students who are traditional learners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may need personalized academic support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Weekly tutoring</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9" w:lineRule="auto"/>
        <w:ind w:left="144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the class period, each LIA student will be paired one-on-one with a younger student for whom they will serve as a tutor and mentor at least once a week between October and April. </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teacher and LIA Regional Program Manager will coordinate (with the help of admin) a partnership with a nearby elementary school for the purpose of providing ongoing tutoring.</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60" w:before="0" w:line="259"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Leadership</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choose a class presidency. </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divide into at least three committees (Service, Social, Professional) and will meet regularly to plan activities and events. Each LIA student will participate in one committee.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and Career Readiness Curriculum. The LIA teacher will facilitate the College and Career Readiness Curriculum at least once a week. </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Teachers/schools/districts must seek approval from the LIA administrative office for any suggested curriculum additions or changes before use. </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Note on Student Accountability</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Students are expected to: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an LIA classroom committee (e.g., service, social, or professionalism committee)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 involved in at least one extracurricular activity (i.e. work, sport, club service, etc.…)</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Serve as a tutor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at least one service activity each semester (outside of tutoring)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Demonstrate academic progress and strive to maintain at least a 2.0 GPA</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Challenge themselves to take rigorous coursework that will prepare them for college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8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Exhibit the behavior expected of LIA students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Termination and Renewal of Contract</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Both parties acknowledge that each school is unique and LIA classrooms will have some variance depending on LIA teacher discretion and school goals. LIA retains the right to discontinue LIA within any of its respective schools if it is determined that the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has not exercised diligence in upholding this agreement.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retains the right to discontinue LIA if LIA does not exercise due diligence in upholding this agreement.  Additionally, upon at least 90-days’ notice to LIA,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{{school_name}}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may discontinue the LIA program at any or all schools for the upcoming school year; such discontinuation will have no effect on the program’s implementation in the current year.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This Memorandum of Understanding is effective for starting with the {{effective_school_year}} school year and will automatically renew on a yearly basis. Any changes to this memorandum must be agreed to by both parties.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1"/>
          <w:bCs w:val="1"/>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Relationship of the Parties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contained in this MOU will be construed to create the relationship of employer and employee, principal and agent, partnership or joint venture, or any other fiduciary relationship between {{school_name}} and LIA, or between the District and LIA’s employees, agents, or independent contractors. LIA and its employees, agents, or independent contractors do not have authority to act as agent for, or on behalf of, the District, to represent the District, or to bind the District in any manner. LIA will be solely responsible for the activities of its employees, agents and independent contractors, and its role pursuant to this MOU.</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LIA shall defend, indemnify, and hold harmless the District in full for any and all claims against the District or its employees, officials or contractors which arise from the acts or omissions of LIA and its employees, officials, agents, and contractors in the provision of services under this MOU. The District will have the right, but not the obligation, to participate in any defense at its own cost and with its own counsel. The District shall defend, indemnify, and hold harmless LIA in full for any and all claims against LIA or its employees, officials, agents or contractors which arise from the acts or omissions of the District and its employees, officials, contractors and volunteers in the provision of services under this Agreement.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Media Use and Intellectual Property Protection</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1. Use of Video Footage and Images</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Latinos In Action (“LIA”) is permitted to use video footage and/or images captured at {{school_name}} for program-related purposes, including training, reporting, communications, and promotional materials, provided that a valid and signed photo/video waiver has been obtained from the parent or legal guardian of any student depicted. The {{school_name}}, including its teachers and staff, is responsible for obtaining, maintaining, and securely filing all required photo/video waivers and ensuring that only students with signed waivers are included in any footage or images shared with LIA.</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2. Ownership of Intellectual Property</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Latinos In Action retains all rights, title, and interest in its curricula, instructional materials, program framework, training resources, branding elements, and related content. These materials are protected under applicable copyright and trademark laws and include, but are not limited to, the Latinos In Action name, logos, program model, curriculum, instructional resources, and related materials.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3. Authorized Use of Materials</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is granted a limited, non-exclusive, non-transferable permission to use LIA materials solely for the purpose of implementing the Latinos In Action program at the authorized school(s) during the term of this Memorandum of Understanding. The {{school_name}} agrees not to reproduce, distribute, modify, publish, or share LIA materials with third parties outside the scope of the authorized program without prior written permission from Latinos In Action.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4. Protection and Distribution of Materials</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agrees to take reasonable steps to protect the confidentiality and integrity of Latinos In Action materials. LIA curriculum, lesson materials, training resources, and related content may not be uploaded to shared district repositories, learning management systems, or publicly accessible platforms, nor distributed to other schools, programs, or educators who are not participating in an authorized Latinos In Action program, without prior written permission from Latinos In Action.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5. Program Name, Branding, and Model Integrity</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agrees not to use the Latinos In Action name, logo, or branding in connection with any program, curriculum, or activity that is not part of an authorized Latinos In Action program. The {{school_name}} further agrees not to replicate, adapt, rebrand, or create derivative programs based on the Latinos In Action program model, curriculum, or materials outside the scope of an active agreement with Latinos In Action.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6. Responsibilities of Staff and Educators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{{school_name}} will make reasonable efforts to ensure that educators, staff members, or contractors who have access to LIA materials understand that these materials are provided solely for use within the authorized Latinos In Action program and may not be transferred, reused, or implemented in other schools, districts, or programs without written authorization from Latinos In Action.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7. Termination or Expiration of Agreement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Upon termination or expiration of this agreement, the {{school_name}} agrees to discontinue use of all Latinos In Action curriculum, materials, and branding, including the LIA name and logo, unless otherwise authorized in writing by Latinos In Action. The {{school_name}} will make reasonable efforts to ensure that copies of LIA materials are not retained, redistributed, or used outside the scope of the program after the agreement ends.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8. No Transfer of Ownership</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in this agreement shall be interpreted as transferring ownership of Latinos In Action intellectual property to the {{school_name}}. Educators may apply general instructional strategies learned through the program; however, the Latinos In Action curriculum, program structure, and branded materials may only be used within an authorized Latinos In Action partnership.</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9. Training and Professional Learning Materials</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Professional development content, training materials, and implementation guidance provided by Latinos In Action are intended solely to support educators participating in an authorized Latinos In Action program during the term of this agreement. The {{school_name}} agrees not to use these materials to independently train additional educators, expand the program to additional schools, or support implementation of a similar program outside of an active agreement with Latinos In Action without prior written authorization from Latinos In Action.</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The Latinos In Action framework, including its leadership, service, and academic components, is part of the proprietary program model and may only be implemented as part of an authorized Latinos In Action partnership.</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ageBreakBefore/>
        <w:pageBreakBefore/>
        <w:pageBreakBefore/>
        <w:pageBreakBefore/>
        <w:pageBreakBefore/>
      </w:pPr>
      <w:r w:rsidDel="00000000" w:rsidR="00000000" w:rsidRPr="00000000">
        <w:rPr>
          <w:rtl w:val="0"/>
        </w:rPr>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00"/>
        <w:gridCol w:w="2825"/>
      </w:tblGrid>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INITIAL START-UP COSTS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 fee, onboarding, and first-year training — per Middle or High School</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Launching LIA: implementation training, teacher certification, and administrator/counselor training</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Included</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Travel fees: Dr. José Enriquez initial meeting and founder visit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{{startup_discount_name}} ({{startup_discount_percent}}%)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{{startup_discount_amount}}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Start-up Fee —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{{startup_final_price}}</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LIA PROGRAM COSTS — FIRST YEAR - {{launch_school_year}}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{{first_year_discount_name}} ({{first_year_discount_percent}}%)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{{first_year_discount_amount}}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First-Year Program Total</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{{first_year_final_price}}</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Grand Total First-Year Implementation</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{{first_year_grand_total}}</w:t>
            </w:r>
          </w:p>
        </w:tc>
      </w:tr>
      <w:tr>
        <w:trPr>
          <w:cantSplit/>
        </w:trPr>
        <w:tc>
          <w:tcPr>
            <w:tcW w:type="dxa" w:w="10728"/>
            <w:vAlign w:val="center"/>
            <w:gridSpan w:val="2"/>
            <w:tcMar>
              <w:top w:w="70" w:type="dxa"/>
              <w:start w:w="120" w:type="dxa"/>
              <w:bottom w:w="70" w:type="dxa"/>
              <w:end w:w="120" w:type="dxa"/>
            </w:tcMar>
            <w:shd w:fill="C4122F"/>
          </w:tcPr>
          <w:p>
            <w:pPr>
              <w:spacing w:before="0" w:after="0"/>
            </w:pPr>
            <w:r/>
            <w:r>
              <w:rPr>
                <w:rFonts w:ascii="Arimo" w:hAnsi="Arimo"/>
                <w:b/>
                <w:color w:val="FFFFFF"/>
                <w:sz w:val="18"/>
              </w:rPr>
              <w:t>ANNUAL RENEWAL PRICING - {{renewal_school_year}}</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Portal Access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Access to Online Curriculum</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Personalized Teacher Support throughout the school year — unlimited emails, calls, and meetings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$1,400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Youth Leadership Conference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$800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LIA Leadership Boot Camp</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$500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Educator Institute</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$200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Masterminds</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$100</w:t>
            </w:r>
          </w:p>
        </w:tc>
      </w:tr>
      <w:tr>
        <w:trPr>
          <w:cantSplit/>
        </w:trPr>
        <w:tc>
          <w:tcPr>
            <w:tcW w:type="dxa" w:w="7920"/>
            <w:vAlign w:val="center"/>
            <w:tcMar>
              <w:top w:w="70" w:type="dxa"/>
              <w:start w:w="120" w:type="dxa"/>
              <w:bottom w:w="70" w:type="dxa"/>
              <w:end w:w="120" w:type="dxa"/>
            </w:tcMar>
          </w:tcPr>
          <w:p>
            <w:pPr>
              <w:spacing w:before="0" w:after="0"/>
            </w:pPr>
            <w:r/>
            <w:r>
              <w:rPr>
                <w:rFonts w:ascii="Arimo" w:hAnsi="Arimo"/>
                <w:b w:val="0"/>
                <w:color w:val="222222"/>
                <w:sz w:val="18"/>
              </w:rPr>
              <w:t>{{renewal_discount_name}} ({{renewal_discount_percent}}%)</w:t>
            </w:r>
          </w:p>
        </w:tc>
        <w:tc>
          <w:tcPr>
            <w:tcW w:type="dxa" w:w="2808"/>
            <w:vAlign w:val="center"/>
            <w:tcMar>
              <w:top w:w="70" w:type="dxa"/>
              <w:start w:w="120" w:type="dxa"/>
              <w:bottom w:w="70" w:type="dxa"/>
              <w:end w:w="120" w:type="dxa"/>
            </w:tcMar>
          </w:tcPr>
          <w:p>
            <w:pPr>
              <w:spacing w:before="0" w:after="0"/>
              <w:jc w:val="right"/>
            </w:pPr>
            <w:r/>
            <w:r>
              <w:rPr>
                <w:rFonts w:ascii="Arimo" w:hAnsi="Arimo"/>
                <w:b w:val="0"/>
                <w:color w:val="222222"/>
                <w:sz w:val="18"/>
              </w:rPr>
              <w:t>- {{renewal_discount_amount}}</w:t>
            </w:r>
          </w:p>
        </w:tc>
      </w:tr>
      <w:tr>
        <w:trPr>
          <w:cantSplit/>
        </w:trPr>
        <w:tc>
          <w:tcPr>
            <w:tcW w:type="dxa" w:w="7920"/>
            <w:vAlign w:val="center"/>
            <w:tcMar>
              <w:top w:w="70" w:type="dxa"/>
              <w:start w:w="120" w:type="dxa"/>
              <w:bottom w:w="70" w:type="dxa"/>
              <w:end w:w="120" w:type="dxa"/>
            </w:tcMar>
            <w:shd w:fill="F2F2F2"/>
          </w:tcPr>
          <w:p>
            <w:pPr>
              <w:spacing w:before="0" w:after="0"/>
            </w:pPr>
            <w:r/>
            <w:r>
              <w:rPr>
                <w:rFonts w:ascii="Arimo" w:hAnsi="Arimo"/>
                <w:b/>
                <w:color w:val="222222"/>
                <w:sz w:val="18"/>
              </w:rPr>
              <w:t>Total Second-Year Annual Renewal Membership Fee</w:t>
            </w:r>
          </w:p>
        </w:tc>
        <w:tc>
          <w:tcPr>
            <w:tcW w:type="dxa" w:w="2808"/>
            <w:vAlign w:val="center"/>
            <w:tcMar>
              <w:top w:w="70" w:type="dxa"/>
              <w:start w:w="120" w:type="dxa"/>
              <w:bottom w:w="70" w:type="dxa"/>
              <w:end w:w="120" w:type="dxa"/>
            </w:tcMar>
            <w:shd w:fill="F2F2F2"/>
          </w:tcPr>
          <w:p>
            <w:pPr>
              <w:spacing w:before="0" w:after="0"/>
              <w:jc w:val="right"/>
            </w:pPr>
            <w:r/>
            <w:r>
              <w:rPr>
                <w:rFonts w:ascii="Arimo" w:hAnsi="Arimo"/>
                <w:b/>
                <w:color w:val="222222"/>
                <w:sz w:val="18"/>
              </w:rPr>
              <w:t>{{renewal_program_final_price}}</w:t>
            </w:r>
          </w:p>
        </w:tc>
      </w:tr>
    </w:tbl>
    <w:p>
      <w:pPr>
        <w:spacing w:before="200" w:after="0"/>
      </w:pPr>
      <w:r>
        <w:rPr>
          <w:rFonts w:ascii="Arimo" w:hAnsi="Arimo"/>
          <w:b w:val="0"/>
          <w:color w:val="222222"/>
          <w:sz w:val="18"/>
        </w:rPr>
        <w:t>*After the second-year renewal, future renewal pricing will be based on the second-year renewal amount plus the applicable inflation percentage.</w:t>
      </w:r>
    </w:p>
    <w:p>
      <w:r>
        <w:br w:type="page"/>
      </w:r>
    </w:p>
    <w:p>
      <w:pPr>
        <w:spacing w:before="0" w:after="240"/>
        <w:jc w:val="center"/>
      </w:pPr>
      <w:r>
        <w:rPr>
          <w:rFonts w:ascii="Arimo" w:hAnsi="Arimo"/>
          <w:b/>
          <w:color w:val="1F1F1F"/>
          <w:sz w:val="44"/>
        </w:rPr>
        <w:t>AUTHORIZED SIGNATORIES</w:t>
      </w:r>
    </w:p>
    <w:p>
      <w:pPr>
        <w:spacing w:after="360"/>
      </w:pPr>
      <w:r>
        <w:rPr>
          <w:rFonts w:ascii="Arimo" w:hAnsi="Arimo"/>
          <w:b w:val="0"/>
          <w:color w:val="222222"/>
          <w:sz w:val="20"/>
        </w:rPr>
        <w:t>The undersigned parties agree to the expectations and terms stated in this Memorandum of Understanding.</w:t>
      </w:r>
    </w:p>
    <w:tbl>
      <w:tblPr>
        <w:tblW w:type="dxa" w:w="10725"/>
        <w:tblLayout w:type="fixed"/>
        <w:tblLook w:firstColumn="1" w:firstRow="1" w:lastColumn="0" w:lastRow="0" w:noHBand="0" w:noVBand="1" w:val="04A0"/>
      </w:tblPr>
      <w:tblGrid>
        <w:gridCol w:w="5362"/>
        <w:gridCol w:w="5363"/>
      </w:tblGrid>
      <w:tr>
        <w:tc>
          <w:tcPr>
            <w:tcW w:type="dxa" w:w="5400"/>
            <w:tcMar>
              <w:top w:w="100" w:type="dxa"/>
              <w:start w:w="120" w:type="dxa"/>
              <w:bottom w:w="100" w:type="dxa"/>
              <w:end w:w="120" w:type="dxa"/>
            </w:tcMar>
          </w:tcPr>
          <w:p>
            <w:pPr>
              <w:spacing w:before="0" w:after="0"/>
            </w:pPr>
            <w:r/>
            <w:r>
              <w:rPr>
                <w:rFonts w:ascii="Arimo" w:hAnsi="Arimo"/>
                <w:b/>
                <w:color w:val="C4122F"/>
                <w:sz w:val="18"/>
              </w:rPr>
              <w:t>LATINOS IN ACTION</w:t>
            </w:r>
          </w:p>
        </w:tc>
        <w:tc>
          <w:tcPr>
            <w:tcW w:type="dxa" w:w="5400"/>
            <w:tcMar>
              <w:top w:w="100" w:type="dxa"/>
              <w:start w:w="120" w:type="dxa"/>
              <w:bottom w:w="100" w:type="dxa"/>
              <w:end w:w="120" w:type="dxa"/>
            </w:tcMar>
          </w:tcPr>
          <w:p>
            <w:pPr>
              <w:spacing w:before="0" w:after="0"/>
            </w:pPr>
            <w:r/>
            <w:r>
              <w:rPr>
                <w:rFonts w:ascii="Arimo" w:hAnsi="Arimo"/>
                <w:b/>
                <w:color w:val="C4122F"/>
                <w:sz w:val="18"/>
              </w:rPr>
              <w:t>SCHOOL / DISTRICT</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Dr. José Enriquez</w:t>
              <w:br/>
              <w:t>CEO and Founder</w:t>
            </w:r>
          </w:p>
        </w:tc>
        <w:tc>
          <w:tcPr>
            <w:tcW w:type="dxa" w:w="5400"/>
            <w:tcMar>
              <w:top w:w="100" w:type="dxa"/>
              <w:start w:w="120" w:type="dxa"/>
              <w:bottom w:w="100" w:type="dxa"/>
              <w:end w:w="120" w:type="dxa"/>
            </w:tcMar>
          </w:tcPr>
          <w:p>
            <w:pPr>
              <w:spacing w:before="0" w:after="0"/>
            </w:pPr>
            <w:r/>
            <w:r>
              <w:rPr>
                <w:rFonts w:ascii="Arimo" w:hAnsi="Arimo"/>
                <w:b w:val="0"/>
                <w:color w:val="222222"/>
                <w:sz w:val="18"/>
              </w:rPr>
              <w:t>{{authorized_signer_name}}</w:t>
              <w:br/>
              <w:t>Authorized Representative</w:t>
            </w:r>
          </w:p>
        </w:tc>
      </w:tr>
      <w:tr>
        <w:tc>
          <w:tcPr>
            <w:tcW w:type="dxa" w:w="5400"/>
            <w:tcMar>
              <w:top w:w="100" w:type="dxa"/>
              <w:start w:w="120" w:type="dxa"/>
              <w:bottom w:w="100" w:type="dxa"/>
              <w:end w:w="120" w:type="dxa"/>
            </w:tcMar>
          </w:tcPr>
          <w:p>
            <w:pPr>
              <w:spacing w:after="0"/>
            </w:pPr>
            <w:r/>
            <w:r>
              <w:drawing>
                <wp:inline>
                  <wp:extent cx="1920240" cy="552069"/>
                  <wp:docPr id="1073741843" name="Picture 107374184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20240" cy="552069"/>
                          </a:xfrm>
                          <a:prstGeom prst="rect"/>
                        </pic:spPr>
                      </pic:pic>
                    </a:graphicData>
                  </a:graphic>
                </wp:inline>
              </w:drawing>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Signature</w:t>
            </w:r>
          </w:p>
        </w:tc>
      </w:tr>
      <w:tr>
        <w:tc>
          <w:tcPr>
            <w:tcW w:type="dxa" w:w="5400"/>
            <w:tcMar>
              <w:top w:w="100" w:type="dxa"/>
              <w:start w:w="120" w:type="dxa"/>
              <w:bottom w:w="100" w:type="dxa"/>
              <w:end w:w="120" w:type="dxa"/>
            </w:tcMar>
          </w:tcPr>
          <w:p>
            <w:pPr>
              <w:spacing w:before="0" w:after="0"/>
            </w:pPr>
            <w:r/>
            <w:r>
              <w:rPr>
                <w:rFonts w:ascii="Arimo" w:hAnsi="Arimo"/>
                <w:b w:val="0"/>
                <w:color w:val="222222"/>
                <w:sz w:val="18"/>
              </w:rPr>
              <w:t>{{lia_signature_date}}</w:t>
              <w:br/>
              <w:t>Date</w:t>
            </w:r>
          </w:p>
        </w:tc>
        <w:tc>
          <w:tcPr>
            <w:tcW w:type="dxa" w:w="5400"/>
            <w:tcMar>
              <w:top w:w="100" w:type="dxa"/>
              <w:start w:w="120" w:type="dxa"/>
              <w:bottom w:w="100" w:type="dxa"/>
              <w:end w:w="120" w:type="dxa"/>
            </w:tcMar>
          </w:tcPr>
          <w:p>
            <w:pPr>
              <w:spacing w:before="0" w:after="0"/>
            </w:pPr>
            <w:r/>
            <w:r>
              <w:rPr>
                <w:rFonts w:ascii="Arimo" w:hAnsi="Arimo"/>
                <w:b w:val="0"/>
                <w:color w:val="222222"/>
                <w:sz w:val="18"/>
              </w:rPr>
              <w:t>________________________________</w:t>
              <w:br/>
              <w:t>Date</w:t>
            </w:r>
          </w:p>
        </w:tc>
      </w:tr>
    </w:tbl>
    <w:p>
      <w:r>
        <w:br w:type="page"/>
      </w:r>
    </w:p>
    <w:p>
      <w:pPr>
        <w:spacing w:before="0" w:after="240"/>
        <w:jc w:val="center"/>
      </w:pPr>
      <w:r>
        <w:rPr>
          <w:rFonts w:ascii="Arimo" w:hAnsi="Arimo"/>
          <w:b/>
          <w:color w:val="1F1F1F"/>
          <w:sz w:val="44"/>
        </w:rPr>
        <w:t>INVOICE PROCESS</w:t>
      </w:r>
    </w:p>
    <w:p>
      <w:pPr>
        <w:spacing w:after="280"/>
      </w:pPr>
      <w:r>
        <w:rPr>
          <w:rFonts w:ascii="Arimo" w:hAnsi="Arimo"/>
          <w:b w:val="0"/>
          <w:color w:val="222222"/>
          <w:sz w:val="20"/>
        </w:rPr>
        <w:t>Thank you for joining the Latinos In Action familia. After the MOU is signed, LIA will send an invoice for the agreed fees. Please provide the information below so the invoice can be processed correctly.</w:t>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00"/>
        <w:gridCol w:w="8025"/>
      </w:tblGrid>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PURCHASE ORDER</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Does your organization require a purchase order?  ☐ Yes  ☐ No</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quote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PO contact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Quote requirements</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Information that must appear on the quote</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Complete this section if no purchase order is required.</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contact</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Name of person who receives the invoice</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email</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Email address</w:t>
              <w:br/>
              <w:t>________________________________________</w:t>
            </w:r>
          </w:p>
        </w:tc>
      </w:tr>
      <w:tr>
        <w:tc>
          <w:tcPr>
            <w:tcW w:type="dxa" w:w="5400"/>
            <w:vAlign w:val="center"/>
            <w:tcMar>
              <w:top w:w="120" w:type="dxa"/>
              <w:start w:w="140" w:type="dxa"/>
              <w:bottom w:w="120" w:type="dxa"/>
              <w:end w:w="140" w:type="dxa"/>
            </w:tcMar>
          </w:tcPr>
          <w:p>
            <w:pPr>
              <w:spacing w:before="0" w:after="0"/>
            </w:pPr>
            <w:r/>
            <w:r>
              <w:rPr>
                <w:rFonts w:ascii="Arimo" w:hAnsi="Arimo"/>
                <w:b/>
                <w:color w:val="222222"/>
                <w:sz w:val="18"/>
              </w:rPr>
              <w:t>Invoice phone</w:t>
            </w:r>
          </w:p>
        </w:tc>
        <w:tc>
          <w:tcPr>
            <w:tcW w:type="dxa" w:w="5400"/>
            <w:vAlign w:val="center"/>
            <w:tcMar>
              <w:top w:w="120" w:type="dxa"/>
              <w:start w:w="140" w:type="dxa"/>
              <w:bottom w:w="120" w:type="dxa"/>
              <w:end w:w="140" w:type="dxa"/>
            </w:tcMar>
          </w:tcPr>
          <w:p>
            <w:pPr>
              <w:spacing w:before="0" w:after="0"/>
            </w:pPr>
            <w:r/>
            <w:r>
              <w:rPr>
                <w:rFonts w:ascii="Arimo" w:hAnsi="Arimo"/>
                <w:b w:val="0"/>
                <w:color w:val="222222"/>
                <w:sz w:val="18"/>
              </w:rPr>
              <w:t>Phone number</w:t>
              <w:br/>
              <w:t>________________________________________</w:t>
            </w:r>
          </w:p>
        </w:tc>
      </w:tr>
      <w:tr>
        <w:tc>
          <w:tcPr>
            <w:tcW w:type="dxa" w:w="5400"/>
            <w:vAlign w:val="center"/>
            <w:tcMar>
              <w:top w:w="120" w:type="dxa"/>
              <w:start w:w="140" w:type="dxa"/>
              <w:bottom w:w="120" w:type="dxa"/>
              <w:end w:w="140" w:type="dxa"/>
            </w:tcMar>
            <w:shd w:fill="F2F2F2"/>
          </w:tcPr>
          <w:p>
            <w:pPr>
              <w:spacing w:before="0" w:after="0"/>
            </w:pPr>
            <w:r/>
            <w:r>
              <w:rPr>
                <w:rFonts w:ascii="Arimo" w:hAnsi="Arimo"/>
                <w:b/>
                <w:color w:val="222222"/>
                <w:sz w:val="18"/>
              </w:rPr>
              <w:t>VENDOR SETUP</w:t>
            </w:r>
          </w:p>
        </w:tc>
        <w:tc>
          <w:tcPr>
            <w:tcW w:type="dxa" w:w="5400"/>
            <w:vAlign w:val="center"/>
            <w:tcMar>
              <w:top w:w="120" w:type="dxa"/>
              <w:start w:w="140" w:type="dxa"/>
              <w:bottom w:w="120" w:type="dxa"/>
              <w:end w:w="140" w:type="dxa"/>
            </w:tcMar>
            <w:shd w:fill="F2F2F2"/>
          </w:tcPr>
          <w:p>
            <w:pPr>
              <w:spacing w:before="0" w:after="0"/>
            </w:pPr>
            <w:r/>
            <w:r>
              <w:rPr>
                <w:rFonts w:ascii="Arimo" w:hAnsi="Arimo"/>
                <w:b w:val="0"/>
                <w:color w:val="222222"/>
                <w:sz w:val="18"/>
              </w:rPr>
              <w:t>Is vendor registration required?  ☐ Yes  ☐ No</w:t>
              <w:br/>
              <w:t>Required forms/documents:</w:t>
              <w:br/>
              <w:t>________________________________________</w:t>
            </w:r>
          </w:p>
        </w:tc>
      </w:tr>
    </w:tbl>
    <w:p>
      <w:pPr>
        <w:spacing w:before="240" w:after="240"/>
      </w:pPr>
      <w:r>
        <w:rPr>
          <w:rFonts w:ascii="Arimo" w:hAnsi="Arimo"/>
          <w:b/>
          <w:color w:val="C4122F"/>
          <w:sz w:val="20"/>
        </w:rPr>
        <w:t>Return vendor forms or invoicing questions to Brayan Zuniga at brayan@latinosinaction.org.</w:t>
      </w:r>
    </w:p>
    <w:p>
      <w:r>
        <w:rPr>
          <w:rFonts w:ascii="Arimo" w:hAnsi="Arimo"/>
          <w:b/>
          <w:color w:val="222222"/>
          <w:sz w:val="20"/>
        </w:rPr>
        <w:t>Muchas gracias,</w:t>
        <w:br/>
        <w:t>LATINOS IN ACTION</w:t>
      </w:r>
    </w:p>
    <w:sectPr>
      <w:headerReference r:id="rId11" w:type="default"/>
      <w:footerReference r:id="rId12" w:type="default"/>
      <w:footerReference w:type="first" r:id="rId13"/>
      <w:footerReference w:type="even" r:id="rId14"/>
      <w:pgSz w:h="15840" w:w="12240" w:orient="portrait"/>
      <w:pgMar w:bottom="720" w:top="720" w:left="720" w:right="72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5040"/>
        <w:tab w:val="right" w:leader="none" w:pos="1008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93" w:hanging="393"/>
      </w:pPr>
      <w:rPr>
        <w:b w:val="1"/>
        <w:bCs w:val="1"/>
        <w:smallCaps w:val="0"/>
        <w:strike w:val="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2">
      <w:start w:val="1"/>
      <w:numFmt w:val="upperLetter"/>
      <w:lvlText w:val="%3."/>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3">
      <w:start w:val="1"/>
      <w:numFmt w:val="upperLetter"/>
      <w:lvlText w:val="%4."/>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4">
      <w:start w:val="1"/>
      <w:numFmt w:val="upperLetter"/>
      <w:lvlText w:val="%5."/>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5">
      <w:start w:val="1"/>
      <w:numFmt w:val="upperLetter"/>
      <w:lvlText w:val="%6."/>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6">
      <w:start w:val="1"/>
      <w:numFmt w:val="upperLetter"/>
      <w:lvlText w:val="%7."/>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7">
      <w:start w:val="1"/>
      <w:numFmt w:val="upperLetter"/>
      <w:lvlText w:val="%8."/>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8">
      <w:start w:val="1"/>
      <w:numFmt w:val="upperLetter"/>
      <w:lvlText w:val="%9."/>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abstractNum>
  <w:abstractNum w:abstractNumId="2">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3">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2"/>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4">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800" w:hanging="36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160" w:hanging="36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520" w:hanging="36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880" w:hanging="36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240" w:hanging="36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5">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decimal"/>
      <w:lvlText w:val="%4."/>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decimal"/>
      <w:lvlText w:val="%5."/>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decimal"/>
      <w:lvlText w:val="%6."/>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decimal"/>
      <w:lvlText w:val="%7."/>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decimal"/>
      <w:lvlText w:val="%8."/>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decimal"/>
      <w:lvlText w:val="%9."/>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7">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8">
    <w:lvl w:ilvl="0">
      <w:start w:val="1"/>
      <w:numFmt w:val="decimal"/>
      <w:lvlText w:val="%1."/>
      <w:lvlJc w:val="left"/>
      <w:pPr>
        <w:ind w:left="1080" w:hanging="360"/>
      </w:pPr>
      <w:rPr>
        <w:b w:val="0"/>
        <w:bCs w:val="0"/>
        <w:smallCaps w:val="0"/>
        <w:strike w:val="0"/>
        <w:color w:val="000000"/>
        <w:shd w:fill="auto" w:val="clear"/>
        <w:vertAlign w:val="baseline"/>
      </w:rPr>
    </w:lvl>
    <w:lvl w:ilvl="1">
      <w:start w:val="1"/>
      <w:numFmt w:val="decimal"/>
      <w:lvlText w:val="%2."/>
      <w:lvlJc w:val="left"/>
      <w:pPr>
        <w:ind w:left="1080" w:hanging="360"/>
      </w:pPr>
      <w:rPr>
        <w:b w:val="1"/>
        <w:bCs w:val="1"/>
        <w:smallCaps w:val="0"/>
        <w:strike w:val="0"/>
        <w:color w:val="000000"/>
        <w:shd w:fill="auto" w:val="clear"/>
        <w:vertAlign w:val="baseline"/>
      </w:rPr>
    </w:lvl>
    <w:lvl w:ilvl="2">
      <w:start w:val="1"/>
      <w:numFmt w:val="decimal"/>
      <w:lvlText w:val="%3."/>
      <w:lvlJc w:val="left"/>
      <w:pPr>
        <w:ind w:left="1800" w:hanging="360"/>
      </w:pPr>
      <w:rPr>
        <w:b w:val="1"/>
        <w:bCs w:val="1"/>
        <w:smallCaps w:val="0"/>
        <w:strike w:val="0"/>
        <w:color w:val="000000"/>
        <w:shd w:fill="auto" w:val="clear"/>
        <w:vertAlign w:val="baseline"/>
      </w:rPr>
    </w:lvl>
    <w:lvl w:ilvl="3">
      <w:start w:val="1"/>
      <w:numFmt w:val="decimal"/>
      <w:lvlText w:val="%4."/>
      <w:lvlJc w:val="left"/>
      <w:pPr>
        <w:ind w:left="2520" w:hanging="360"/>
      </w:pPr>
      <w:rPr>
        <w:b w:val="1"/>
        <w:bCs w:val="1"/>
        <w:smallCaps w:val="0"/>
        <w:strike w:val="0"/>
        <w:color w:val="000000"/>
        <w:shd w:fill="auto" w:val="clear"/>
        <w:vertAlign w:val="baseline"/>
      </w:rPr>
    </w:lvl>
    <w:lvl w:ilvl="4">
      <w:start w:val="1"/>
      <w:numFmt w:val="decimal"/>
      <w:lvlText w:val="%5."/>
      <w:lvlJc w:val="left"/>
      <w:pPr>
        <w:ind w:left="3240" w:hanging="360"/>
      </w:pPr>
      <w:rPr>
        <w:b w:val="1"/>
        <w:bCs w:val="1"/>
        <w:smallCaps w:val="0"/>
        <w:strike w:val="0"/>
        <w:color w:val="000000"/>
        <w:shd w:fill="auto" w:val="clear"/>
        <w:vertAlign w:val="baseline"/>
      </w:rPr>
    </w:lvl>
    <w:lvl w:ilvl="5">
      <w:start w:val="1"/>
      <w:numFmt w:val="decimal"/>
      <w:lvlText w:val="%6."/>
      <w:lvlJc w:val="left"/>
      <w:pPr>
        <w:ind w:left="3960" w:hanging="360"/>
      </w:pPr>
      <w:rPr>
        <w:b w:val="1"/>
        <w:bCs w:val="1"/>
        <w:smallCaps w:val="0"/>
        <w:strike w:val="0"/>
        <w:color w:val="000000"/>
        <w:shd w:fill="auto" w:val="clear"/>
        <w:vertAlign w:val="baseline"/>
      </w:rPr>
    </w:lvl>
    <w:lvl w:ilvl="6">
      <w:start w:val="1"/>
      <w:numFmt w:val="decimal"/>
      <w:lvlText w:val="%7."/>
      <w:lvlJc w:val="left"/>
      <w:pPr>
        <w:ind w:left="4680" w:hanging="360"/>
      </w:pPr>
      <w:rPr>
        <w:b w:val="1"/>
        <w:bCs w:val="1"/>
        <w:smallCaps w:val="0"/>
        <w:strike w:val="0"/>
        <w:color w:val="000000"/>
        <w:shd w:fill="auto" w:val="clear"/>
        <w:vertAlign w:val="baseline"/>
      </w:rPr>
    </w:lvl>
    <w:lvl w:ilvl="7">
      <w:start w:val="1"/>
      <w:numFmt w:val="decimal"/>
      <w:lvlText w:val="%8."/>
      <w:lvlJc w:val="left"/>
      <w:pPr>
        <w:ind w:left="5400" w:hanging="360"/>
      </w:pPr>
      <w:rPr>
        <w:b w:val="1"/>
        <w:bCs w:val="1"/>
        <w:smallCaps w:val="0"/>
        <w:strike w:val="0"/>
        <w:color w:val="000000"/>
        <w:shd w:fill="auto" w:val="clear"/>
        <w:vertAlign w:val="baseline"/>
      </w:rPr>
    </w:lvl>
    <w:lvl w:ilvl="8">
      <w:start w:val="1"/>
      <w:numFmt w:val="decimal"/>
      <w:lvlText w:val="%9."/>
      <w:lvlJc w:val="left"/>
      <w:pPr>
        <w:ind w:left="6120" w:hanging="360"/>
      </w:pPr>
      <w:rPr>
        <w:b w:val="1"/>
        <w:bCs w:val="1"/>
        <w:smallCaps w:val="0"/>
        <w:strike w:val="0"/>
        <w:color w:val="000000"/>
        <w:shd w:fill="auto" w:val="clear"/>
        <w:vertAlign w:val="baseline"/>
      </w:rPr>
    </w:lvl>
  </w:abstractNum>
  <w:abstractNum w:abstractNumId="9">
    <w:lvl w:ilvl="0">
      <w:start w:val="1"/>
      <w:numFmt w:val="decimal"/>
      <w:lvlText w:val="%1."/>
      <w:lvlJc w:val="left"/>
      <w:pPr>
        <w:ind w:left="990" w:hanging="360"/>
      </w:pPr>
      <w:rPr>
        <w:b w:val="0"/>
        <w:bCs w:val="0"/>
        <w:smallCaps w:val="0"/>
        <w:strike w:val="0"/>
        <w:color w:val="000000"/>
        <w:shd w:fill="auto" w:val="clear"/>
        <w:vertAlign w:val="baseline"/>
      </w:rPr>
    </w:lvl>
    <w:lvl w:ilvl="1">
      <w:start w:val="1"/>
      <w:numFmt w:val="decimal"/>
      <w:lvlText w:val="%2."/>
      <w:lvlJc w:val="left"/>
      <w:pPr>
        <w:ind w:left="1080" w:hanging="360"/>
      </w:pPr>
      <w:rPr>
        <w:smallCaps w:val="0"/>
        <w:strike w:val="0"/>
        <w:color w:val="000000"/>
        <w:shd w:fill="auto" w:val="clear"/>
        <w:vertAlign w:val="baseline"/>
      </w:rPr>
    </w:lvl>
    <w:lvl w:ilvl="2">
      <w:start w:val="1"/>
      <w:numFmt w:val="decimal"/>
      <w:lvlText w:val="%3."/>
      <w:lvlJc w:val="left"/>
      <w:pPr>
        <w:ind w:left="1800" w:hanging="360"/>
      </w:pPr>
      <w:rPr>
        <w:smallCaps w:val="0"/>
        <w:strike w:val="0"/>
        <w:color w:val="000000"/>
        <w:shd w:fill="auto" w:val="clear"/>
        <w:vertAlign w:val="baseline"/>
      </w:rPr>
    </w:lvl>
    <w:lvl w:ilvl="3">
      <w:start w:val="1"/>
      <w:numFmt w:val="decimal"/>
      <w:lvlText w:val="%4."/>
      <w:lvlJc w:val="left"/>
      <w:pPr>
        <w:ind w:left="2520" w:hanging="360"/>
      </w:pPr>
      <w:rPr>
        <w:smallCaps w:val="0"/>
        <w:strike w:val="0"/>
        <w:color w:val="000000"/>
        <w:shd w:fill="auto" w:val="clear"/>
        <w:vertAlign w:val="baseline"/>
      </w:rPr>
    </w:lvl>
    <w:lvl w:ilvl="4">
      <w:start w:val="1"/>
      <w:numFmt w:val="decimal"/>
      <w:lvlText w:val="%5."/>
      <w:lvlJc w:val="left"/>
      <w:pPr>
        <w:ind w:left="3240" w:hanging="360"/>
      </w:pPr>
      <w:rPr>
        <w:smallCaps w:val="0"/>
        <w:strike w:val="0"/>
        <w:color w:val="000000"/>
        <w:shd w:fill="auto" w:val="clear"/>
        <w:vertAlign w:val="baseline"/>
      </w:rPr>
    </w:lvl>
    <w:lvl w:ilvl="5">
      <w:start w:val="1"/>
      <w:numFmt w:val="decimal"/>
      <w:lvlText w:val="%6."/>
      <w:lvlJc w:val="left"/>
      <w:pPr>
        <w:ind w:left="3960" w:hanging="360"/>
      </w:pPr>
      <w:rPr>
        <w:smallCaps w:val="0"/>
        <w:strike w:val="0"/>
        <w:color w:val="000000"/>
        <w:shd w:fill="auto" w:val="clear"/>
        <w:vertAlign w:val="baseline"/>
      </w:rPr>
    </w:lvl>
    <w:lvl w:ilvl="6">
      <w:start w:val="1"/>
      <w:numFmt w:val="decimal"/>
      <w:lvlText w:val="%7."/>
      <w:lvlJc w:val="left"/>
      <w:pPr>
        <w:ind w:left="4680" w:hanging="360"/>
      </w:pPr>
      <w:rPr>
        <w:smallCaps w:val="0"/>
        <w:strike w:val="0"/>
        <w:color w:val="000000"/>
        <w:shd w:fill="auto" w:val="clear"/>
        <w:vertAlign w:val="baseline"/>
      </w:rPr>
    </w:lvl>
    <w:lvl w:ilvl="7">
      <w:start w:val="1"/>
      <w:numFmt w:val="decimal"/>
      <w:lvlText w:val="%8."/>
      <w:lvlJc w:val="left"/>
      <w:pPr>
        <w:ind w:left="5400" w:hanging="360"/>
      </w:pPr>
      <w:rPr>
        <w:smallCaps w:val="0"/>
        <w:strike w:val="0"/>
        <w:color w:val="000000"/>
        <w:shd w:fill="auto" w:val="clear"/>
        <w:vertAlign w:val="baseline"/>
      </w:rPr>
    </w:lvl>
    <w:lvl w:ilvl="8">
      <w:start w:val="1"/>
      <w:numFmt w:val="decimal"/>
      <w:lvlText w:val="%9."/>
      <w:lvlJc w:val="left"/>
      <w:pPr>
        <w:ind w:left="6120" w:hanging="360"/>
      </w:pPr>
      <w:rPr>
        <w:smallCaps w:val="0"/>
        <w:strike w:val="0"/>
        <w:color w:val="000000"/>
        <w:shd w:fill="auto" w:val="clear"/>
        <w:vertAlign w:val="baseline"/>
      </w:rPr>
    </w:lvl>
  </w:abstractNum>
  <w:abstractNum w:abstractNumId="10">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1">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2">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3">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38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525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597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2"/>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5">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6">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4"/>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7">
    <w:lvl w:ilvl="0">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8">
    <w:lvl w:ilvl="0">
      <w:start w:val="1"/>
      <w:numFmt w:val="bullet"/>
      <w:lvlText w:val="•"/>
      <w:lvlJc w:val="left"/>
      <w:pPr>
        <w:ind w:left="196" w:hanging="196"/>
      </w:pPr>
      <w:rPr>
        <w:smallCaps w:val="0"/>
        <w:strike w:val="0"/>
        <w:shd w:fill="auto" w:val="clear"/>
        <w:vertAlign w:val="baseline"/>
      </w:rPr>
    </w:lvl>
    <w:lvl w:ilvl="1">
      <w:start w:val="1"/>
      <w:numFmt w:val="bullet"/>
      <w:lvlText w:val="•"/>
      <w:lvlJc w:val="left"/>
      <w:pPr>
        <w:ind w:left="1656" w:hanging="216"/>
      </w:pPr>
      <w:rPr>
        <w:rFonts w:ascii="Courier New" w:cs="Courier New" w:eastAsia="Courier New" w:hAnsi="Courier New"/>
        <w:b w:val="0"/>
        <w:bCs w:val="0"/>
        <w:i w:val="0"/>
        <w:iCs w:val="0"/>
        <w:smallCaps w:val="0"/>
        <w:strike w:val="0"/>
        <w:shd w:fill="auto" w:val="clear"/>
        <w:vertAlign w:val="baseline"/>
      </w:rPr>
    </w:lvl>
    <w:lvl w:ilvl="2">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3">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4">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5">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6">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7">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8">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abstractNum>
  <w:abstractNum w:abstractNumId="19">
    <w:lvl w:ilvl="0">
      <w:start w:val="8"/>
      <w:numFmt w:val="decimal"/>
      <w:lvlText w:val="%1."/>
      <w:lvlJc w:val="left"/>
      <w:pPr>
        <w:ind w:left="1080" w:hanging="360"/>
      </w:pPr>
      <w:rPr>
        <w:rFonts w:ascii="Arimo" w:cs="Arimo" w:eastAsia="Arimo" w:hAnsi="Arimo"/>
        <w:b w:val="0"/>
        <w:bCs w:val="0"/>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2">
    <w:lvl w:ilvl="0">
      <w:start w:val="1"/>
      <w:numFmt w:val="decimal"/>
      <w:lvlText w:val="%1."/>
      <w:lvlJc w:val="left"/>
      <w:pPr>
        <w:ind w:left="1080" w:hanging="360"/>
      </w:pPr>
      <w:rPr>
        <w:rFonts w:ascii="Arimo" w:cs="Arimo" w:eastAsia="Arimo" w:hAnsi="Arimo"/>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3">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113" w:hanging="393"/>
      </w:pPr>
      <w:rPr>
        <w:smallCaps w:val="0"/>
        <w:strike w:val="0"/>
        <w:shd w:fill="auto" w:val="clear"/>
        <w:vertAlign w:val="baseline"/>
      </w:rPr>
    </w:lvl>
    <w:lvl w:ilvl="3">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0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736" w:hanging="215.99999999999955"/>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abstractNum w:abstractNumId="25">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lowerLetter"/>
      <w:lvlText w:val="%2."/>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rPr>
      <w:u w:val="single"/>
    </w:rPr>
  </w:style>
  <w:style w:type="paragraph" w:styleId="HeaderFooter" w:customStyle="1">
    <w:name w:val="Header &amp; Footer"/>
    <w:pPr>
      <w:tabs>
        <w:tab w:val="right" w:pos="9020"/>
      </w:tabs>
    </w:pPr>
    <w:rPr>
      <w:rFonts w:ascii="Helvetica Neue" w:cs="Arial Unicode MS" w:hAnsi="Helvetica Neue"/>
      <w:color w:val="000000"/>
      <w:sz w:val="24"/>
      <w:szCs w:val="24"/>
    </w:rPr>
  </w:style>
  <w:style w:type="paragraph" w:styleId="Default" w:customStyle="1">
    <w:name w:val="Default"/>
    <w:rPr>
      <w:rFonts w:ascii="Helvetica Neue" w:cs="Helvetica Neue" w:eastAsia="Helvetica Neue" w:hAnsi="Helvetica Neue"/>
      <w:color w:val="000000"/>
      <w:sz w:val="22"/>
      <w:szCs w:val="22"/>
    </w:rPr>
  </w:style>
  <w:style w:type="paragraph" w:styleId="Heading" w:customStyle="1">
    <w:name w:val="Heading"/>
    <w:next w:val="Body"/>
    <w:pPr>
      <w:keepNext w:val="1"/>
      <w:spacing w:after="120"/>
      <w:outlineLvl w:val="0"/>
    </w:pPr>
    <w:rPr>
      <w:rFonts w:ascii="Helvetica" w:cs="Arial Unicode MS" w:hAnsi="Helvetica"/>
      <w:b w:val="1"/>
      <w:bCs w:val="1"/>
      <w:color w:val="000000"/>
      <w:sz w:val="32"/>
      <w:szCs w:val="32"/>
      <w:u w:val="single"/>
      <w:lang w:val="fr-FR"/>
    </w:rPr>
  </w:style>
  <w:style w:type="paragraph" w:styleId="Body" w:customStyle="1">
    <w:name w:val="Body"/>
    <w:rPr>
      <w:rFonts w:ascii="Helvetica Neue" w:cs="Arial Unicode MS" w:hAnsi="Helvetica Neue"/>
      <w:color w:val="000000"/>
      <w:sz w:val="22"/>
      <w:szCs w:val="22"/>
      <w:lang w:val="fr-FR"/>
    </w:rPr>
  </w:style>
  <w:style w:type="numbering" w:styleId="Numbered" w:customStyle="1">
    <w:name w:val="Numbered"/>
    <w:pPr>
      <w:numPr>
        <w:numId w:val="1"/>
      </w:numPr>
    </w:pPr>
  </w:style>
  <w:style w:type="numbering" w:styleId="Numbered0" w:customStyle="1">
    <w:name w:val="Numbered.0"/>
    <w:pPr>
      <w:numPr>
        <w:numId w:val="3"/>
      </w:numPr>
    </w:pPr>
  </w:style>
  <w:style w:type="numbering" w:styleId="Harvard" w:customStyle="1">
    <w:name w:val="Harvard"/>
    <w:pPr>
      <w:numPr>
        <w:numId w:val="7"/>
      </w:numPr>
    </w:pPr>
  </w:style>
  <w:style w:type="numbering" w:styleId="Lettered" w:customStyle="1">
    <w:name w:val="Lettered"/>
    <w:pPr>
      <w:numPr>
        <w:numId w:val="11"/>
      </w:numPr>
    </w:pPr>
  </w:style>
  <w:style w:type="numbering" w:styleId="Harvard0" w:customStyle="1">
    <w:name w:val="Harvard.0"/>
    <w:pPr>
      <w:numPr>
        <w:numId w:val="13"/>
      </w:numPr>
    </w:pPr>
  </w:style>
  <w:style w:type="numbering" w:styleId="Bullet" w:customStyle="1">
    <w:name w:val="Bullet"/>
    <w:pPr>
      <w:numPr>
        <w:numId w:val="33"/>
      </w:numPr>
    </w:pPr>
  </w:style>
  <w:style w:type="paragraph" w:styleId="TableStyle2" w:customStyle="1">
    <w:name w:val="Table Style 2"/>
    <w:rPr>
      <w:rFonts w:ascii="Helvetica Neue" w:cs="Helvetica Neue" w:eastAsia="Helvetica Neue" w:hAnsi="Helvetica Neue"/>
      <w:color w:val="000000"/>
    </w:rPr>
  </w:style>
  <w:style w:type="paragraph" w:styleId="ListParagraph">
    <w:name w:val="List Paragraph"/>
    <w:basedOn w:val="Normal"/>
    <w:uiPriority w:val="34"/>
    <w:qFormat w:val="1"/>
    <w:rsid w:val="00F11A6C"/>
    <w:pPr>
      <w:pBdr>
        <w:top w:color="auto" w:space="0" w:sz="0" w:val="none"/>
        <w:left w:color="auto" w:space="0" w:sz="0" w:val="none"/>
        <w:bottom w:color="auto" w:space="0" w:sz="0" w:val="none"/>
        <w:right w:color="auto" w:space="0" w:sz="0" w:val="none"/>
        <w:between w:color="auto" w:space="0" w:sz="0" w:val="none"/>
        <w:bar w:color="auto" w:space="0" w:sz="0" w:val="none"/>
      </w:pBdr>
      <w:spacing w:after="160" w:line="259" w:lineRule="auto"/>
      <w:ind w:left="720"/>
      <w:contextualSpacing w:val="1"/>
    </w:pPr>
    <w:rPr>
      <w:rFonts w:asciiTheme="minorHAnsi" w:cstheme="minorBidi" w:eastAsiaTheme="minorHAnsi" w:hAnsiTheme="minorHAnsi"/>
      <w:sz w:val="22"/>
      <w:szCs w:val="22"/>
      <w:bdr w:color="auto" w:space="0" w:sz="0" w:val="none"/>
    </w:rPr>
  </w:style>
  <w:style w:type="table" w:styleId="TableGrid">
    <w:name w:val="Table Grid"/>
    <w:basedOn w:val="TableNormal"/>
    <w:uiPriority w:val="39"/>
    <w:rsid w:val="00D079DF"/>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5.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NotoSansSymbols-bold.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toSansSymbols-regular.ttf"/><Relationship Id="rId14" Type="http://schemas.openxmlformats.org/officeDocument/2006/relationships/font" Target="fonts/OpenSans-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wmmUBYcINq8+bZr2YZRI7ODs0A==">CgMxLjA4AHIhMXRhaS1pdmNqV0EyVzNFNFFQY1VJRmhURUVoajBSQU1R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2026-03-10T17:57:00Z</dcterms:created>
  <dc:creator>Monica</dc:creator>
</cp:coreProperties>
</file>