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Tensing circle-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 tighten. The path winds, flutters. You place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foot upon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tile. Measured.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Light leaves your heel.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path is unclear-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mark 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dotted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line, but it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meanders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through itself. 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request that the Director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choose a way.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blink,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hold. Your tongue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pressures your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mouth’s ceiling. A glossy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splintering 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darkness. As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the web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cracks further each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Illumination flips from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left- right-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left. You count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under breath, then edge 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into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space. The path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firms under your placement.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eyes flick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upwards. Above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you, low, an-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other grid shifts. It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path, with s-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light alteration.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wit-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long-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 can 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hear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echo of your careful foot-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steps. The black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seems 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contract. You expect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continuation where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is 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served, your movement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seems broken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now- disjoint from conscious progression.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Saccadic masking 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phenomenon that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occurs when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brain eliminates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blur of rapid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eye-movement by temporarily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blocking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visual processing.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looking into 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mirror, observers cannot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 their own eye movements. They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cannot witness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their own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observation except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static.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witness this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space. You witness static.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ness 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series of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shuttered frames.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feels as if the path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itself 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processing; the light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itself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binary. Each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 it collapses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absence is darker.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 once the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path holds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entirety: laughter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like vine, rise and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fall of barred chest, the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temperature of steel, so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on. You blink at it like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recurring cobwebs. Strung. Innate.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Perhaps it 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instead the darkness.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 stiffens as the line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path weighs into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it. The grid be-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low is flat- without conscience.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accept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Direct-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you must release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momentarily, planarize into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ink. That instant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uneasy. 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fidget 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sens-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ation you feel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sensations. Of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course it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numbing.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inti-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Does the path care whether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walk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it? Or does it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 end-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lessly into? You are unsure.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you leave their cold/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warmth behind, the tiles flicker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slide into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blackness, no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long-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 necessary: dispensable.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flickering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accelerating? 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your imagination? How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moments have 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Though the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tiles blink,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do not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leave. 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consider: perhaps it 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that death/birth that keeps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them.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any one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light explain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path? What about all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them? What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the darkness?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pause; the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lights seem almost 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fall through.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expectation animates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them. The path leaves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behind.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pressure against/within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skull. 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impression your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feet are sinking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slightly into the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thread-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 dark is all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ment. You feel it hum.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Proceed if you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wish, but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thoughts will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own. The path will continue.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Director will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decide.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