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64"/>
          <w:szCs w:val="64"/>
        </w:rPr>
        <w:t xml:space="preserve">MASTER PLAN</w:t>
      </w:r>
    </w:p>
    <w:p>
      <w:pPr>
        <w:spacing w:after="200"/>
        <w:jc w:val="center"/>
      </w:pPr>
      <w:r>
        <w:rPr>
          <w:color w:val="2E75B6"/>
          <w:sz w:val="36"/>
          <w:szCs w:val="36"/>
        </w:rPr>
        <w:t xml:space="preserve">The AI Back-Office Layer for Healthcare Providers</w:t>
      </w:r>
    </w:p>
    <w:p>
      <w:pPr>
        <w:spacing w:after="800"/>
        <w:jc w:val="center"/>
      </w:pPr>
      <w:r>
        <w:rPr>
          <w:i/>
          <w:iCs/>
          <w:color w:val="555555"/>
          <w:sz w:val="22"/>
          <w:szCs w:val="22"/>
        </w:rPr>
        <w:t xml:space="preserve">A complete strategy, market analysis, and build plan for an AI-agent startup that replaces the human payer-side back-office for medical practices.</w:t>
      </w:r>
    </w:p>
    <w:p>
      <w:pPr>
        <w:spacing w:after="200"/>
        <w:jc w:val="center"/>
      </w:pPr>
      <w:r>
        <w:rPr>
          <w:b/>
          <w:bCs/>
          <w:sz w:val="24"/>
          <w:szCs w:val="24"/>
        </w:rPr>
        <w:t xml:space="preserve">Working name: </w:t>
      </w:r>
      <w:r>
        <w:rPr>
          <w:sz w:val="24"/>
          <w:szCs w:val="24"/>
        </w:rPr>
        <w:t xml:space="preserve">Claimwell (placeholder)</w:t>
      </w:r>
    </w:p>
    <w:p>
      <w:pPr>
        <w:jc w:val="center"/>
      </w:pPr>
      <w:r>
        <w:rPr>
          <w:i/>
          <w:iCs/>
          <w:color w:val="888888"/>
          <w:sz w:val="20"/>
          <w:szCs w:val="20"/>
        </w:rPr>
        <w:t xml:space="preserve">Prepared for the founder · Confidential</w:t>
      </w:r>
    </w:p>
    <w:p>
      <w:r>
        <w:br w:type="page"/>
      </w:r>
    </w:p>
    <w:p>
      <w:pPr>
        <w:pStyle w:val="Heading1"/>
        <w:pBdr>
          <w:bottom w:val="single" w:color="2E75B6" w:sz="8" w:space="4"/>
        </w:pBdr>
        <w:spacing w:after="180" w:before="360"/>
      </w:pPr>
      <w:r>
        <w:rPr>
          <w:b/>
          <w:bCs/>
          <w:color w:val="1F3A5F"/>
          <w:sz w:val="36"/>
          <w:szCs w:val="36"/>
        </w:rPr>
        <w:t xml:space="preserve">1. The One-Sentence Pitch</w:t>
      </w:r>
    </w:p>
    <w:p>
      <w:pPr>
        <w:pBdr>
          <w:left w:val="single" w:color="2E75B6" w:sz="24" w:space="12"/>
        </w:pBdr>
        <w:spacing w:after="200" w:before="120"/>
        <w:ind w:left="720"/>
      </w:pPr>
      <w:r>
        <w:rPr>
          <w:i/>
          <w:iCs/>
          <w:color w:val="555555"/>
        </w:rPr>
        <w:t xml:space="preserve">We're the AI back office for medical practices. Fire your billing company — our agents call insurers, file appeals, submit prior auths, and chase claims 24/7, and we only get paid when you do.</w:t>
      </w:r>
    </w:p>
    <w:p>
      <w:pPr>
        <w:pStyle w:val="Heading1"/>
        <w:pBdr>
          <w:bottom w:val="single" w:color="2E75B6" w:sz="8" w:space="4"/>
        </w:pBdr>
        <w:spacing w:after="180" w:before="360"/>
      </w:pPr>
      <w:r>
        <w:rPr>
          <w:b/>
          <w:bCs/>
          <w:color w:val="1F3A5F"/>
          <w:sz w:val="36"/>
          <w:szCs w:val="36"/>
        </w:rPr>
        <w:t xml:space="preserve">2. Why This Idea (Research Summary)</w:t>
      </w:r>
    </w:p>
    <w:p>
      <w:pPr>
        <w:pStyle w:val="Heading2"/>
        <w:spacing w:after="140" w:before="280"/>
      </w:pPr>
      <w:r>
        <w:rPr>
          <w:b/>
          <w:bCs/>
          <w:color w:val="1F3A5F"/>
          <w:sz w:val="28"/>
          <w:szCs w:val="28"/>
        </w:rPr>
        <w:t xml:space="preserve">2.1 The Pain — Horizontal, Massive, Unsolved</w:t>
      </w:r>
    </w:p>
    <w:p>
      <w:pPr>
        <w:spacing w:after="120" w:line="300"/>
      </w:pPr>
      <w:r>
        <w:t xml:space="preserve">US healthcare bleeds money through systemic administrative failures that no single vendor has solved. The numbers below come from Commonwealth Fund, PMC, CMS, AMA, and industry reports through Q3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Problem</w:t>
            </w:r>
          </w:p>
        </w:tc>
        <w:tc>
          <w:tcPr>
            <w:tcW w:type="dxa" w:w="336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Annual Cost (US)</w:t>
            </w:r>
          </w:p>
        </w:tc>
        <w:tc>
          <w:tcPr>
            <w:tcW w:type="dxa" w:w="25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Source</w:t>
            </w:r>
          </w:p>
        </w:tc>
      </w:tr>
      <w:tr>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Admin excess in healthcare</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~$276B savings potential</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Commonwealth Fund</w:t>
            </w:r>
          </w:p>
        </w:tc>
      </w:tr>
      <w:tr>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Initial claim denials</w:t>
            </w:r>
          </w:p>
        </w:tc>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~$262B denied + $25.7B rework</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PMC 2024</w:t>
            </w:r>
          </w:p>
        </w:tc>
      </w:tr>
      <w:tr>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Revenue cycle inefficiency</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~$260B</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Etactics</w:t>
            </w:r>
          </w:p>
        </w:tc>
      </w:tr>
      <w:tr>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Prior authorization</w:t>
            </w:r>
          </w:p>
        </w:tc>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~$35B admin / $93B all-in</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AMA, CMS</w:t>
            </w:r>
          </w:p>
        </w:tc>
      </w:tr>
      <w:tr>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Coding errors</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~$36B</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Bluebrix</w:t>
            </w:r>
          </w:p>
        </w:tc>
      </w:tr>
      <w:tr>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EHR interoperability gaps</w:t>
            </w:r>
          </w:p>
        </w:tc>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~$30B avoidable</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Medidata</w:t>
            </w:r>
          </w:p>
        </w:tc>
      </w:tr>
      <w:tr>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Credentialing delays</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$122K/provider lost</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Sutherland</w:t>
            </w:r>
          </w:p>
        </w:tc>
      </w:tr>
      <w:tr>
        <w:tc>
          <w:tcPr>
            <w:tcW w:type="dxa" w:w="3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Patient no-shows</w:t>
            </w:r>
          </w:p>
        </w:tc>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~$150B</w:t>
            </w:r>
          </w:p>
        </w:tc>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ModuleMD</w:t>
            </w:r>
          </w:p>
        </w:tc>
      </w:tr>
    </w:tbl>
    <w:p>
      <w:pPr>
        <w:spacing w:after="100"/>
      </w:pPr>
      <w:r>
        <w:t xml:space="preserve"/>
      </w:r>
    </w:p>
    <w:p>
      <w:pPr>
        <w:spacing w:after="120" w:line="300"/>
      </w:pPr>
      <w:r>
        <w:rPr>
          <w:b w:val="false"/>
          <w:bCs w:val="false"/>
        </w:rPr>
        <w:t xml:space="preserve">Denial rates climbed from 6.2% in 2019 to 11.65% in 2025 — a 52% increase in five years. The problem is getting worse because payer rules grow more complex and provider billing staff cannot scale to match.</w:t>
      </w:r>
    </w:p>
    <w:p>
      <w:pPr>
        <w:spacing w:after="120" w:line="300"/>
      </w:pPr>
      <w:r>
        <w:t xml:space="preserve">Per-physician burden: ~700 hours and ~$34K per year just on prior authorization (CMS). Each manual appeal costs ~$57. A mid-size hospital with a 12% denial rate processes 12,000 denials annually — $600K/year in processing alone, not counting denied revenue.</w:t>
      </w:r>
    </w:p>
    <w:p>
      <w:pPr>
        <w:pStyle w:val="Heading2"/>
        <w:spacing w:after="140" w:before="280"/>
      </w:pPr>
      <w:r>
        <w:rPr>
          <w:b/>
          <w:bCs/>
          <w:color w:val="1F3A5F"/>
          <w:sz w:val="28"/>
          <w:szCs w:val="28"/>
        </w:rPr>
        <w:t xml:space="preserve">2.2 The Money — Where VCs Are Writing Checks in 2025</w:t>
      </w:r>
    </w:p>
    <w:p>
      <w:pPr>
        <w:pStyle w:val="ListParagraph"/>
        <w:numPr>
          <w:ilvl w:val="0"/>
          <w:numId w:val="2"/>
        </w:numPr>
        <w:spacing w:after="80" w:line="280"/>
      </w:pPr>
      <w:r>
        <w:t xml:space="preserve">AI-enabled digital health captured 62% of all H1 2025 VC dollars (~$4B of $6.4B)</w:t>
      </w:r>
    </w:p>
    <w:p>
      <w:pPr>
        <w:pStyle w:val="ListParagraph"/>
        <w:numPr>
          <w:ilvl w:val="0"/>
          <w:numId w:val="2"/>
        </w:numPr>
        <w:spacing w:after="80" w:line="280"/>
      </w:pPr>
      <w:r>
        <w:t xml:space="preserve">AI startups raised 83% more per round than non-AI peers</w:t>
      </w:r>
    </w:p>
    <w:p>
      <w:pPr>
        <w:pStyle w:val="ListParagraph"/>
        <w:numPr>
          <w:ilvl w:val="0"/>
          <w:numId w:val="2"/>
        </w:numPr>
        <w:spacing w:after="80" w:line="280"/>
      </w:pPr>
      <w:r>
        <w:t xml:space="preserve">Non-clinical and clinical workflow took the top two funded categories (~$1.9B each in H1)</w:t>
      </w:r>
    </w:p>
    <w:p>
      <w:pPr>
        <w:pStyle w:val="ListParagraph"/>
        <w:numPr>
          <w:ilvl w:val="0"/>
          <w:numId w:val="2"/>
        </w:numPr>
        <w:spacing w:after="80" w:line="280"/>
      </w:pPr>
      <w:r>
        <w:t xml:space="preserve">Nine of 11 mega-deals ($100M+) went to AI startups</w:t>
      </w:r>
    </w:p>
    <w:p>
      <w:pPr>
        <w:spacing w:after="100"/>
      </w:pPr>
      <w:r>
        <w:t xml:space="preserve"/>
      </w:r>
    </w:p>
    <w:p>
      <w:pPr>
        <w:pStyle w:val="Heading3"/>
        <w:spacing w:after="100" w:before="220"/>
      </w:pPr>
      <w:r>
        <w:rPr>
          <w:b/>
          <w:bCs/>
          <w:color w:val="2E75B6"/>
          <w:sz w:val="24"/>
          <w:szCs w:val="24"/>
        </w:rPr>
        <w:t xml:space="preserve">Recent comparable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Company</w:t>
            </w:r>
          </w:p>
        </w:tc>
        <w:tc>
          <w:tcPr>
            <w:tcW w:type="dxa" w:w="38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Round / Funding</w:t>
            </w:r>
          </w:p>
        </w:tc>
        <w:tc>
          <w:tcPr>
            <w:tcW w:type="dxa" w:w="316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What it does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Abridge</w:t>
            </w:r>
          </w:p>
        </w:tc>
        <w:tc>
          <w:tcPr>
            <w:tcW w:type="dxa" w:w="3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$550M in 2025, $5.3B val, ~$117M ARR</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Ambient AI scribe</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Ambience</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$243M Series C, $1.3B val</w:t>
            </w:r>
          </w:p>
        </w:tc>
        <w:tc>
          <w:tcPr>
            <w:tcW w:type="dxa" w:w="3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Clinical workflow OS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OpenEvidence</w:t>
            </w:r>
          </w:p>
        </w:tc>
        <w:tc>
          <w:tcPr>
            <w:tcW w:type="dxa" w:w="3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$210M at $3.5B, ~$50M ARR (+30% MoM)</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Clinician decision search</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Innovaccer</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$275M Series F</w:t>
            </w:r>
          </w:p>
        </w:tc>
        <w:tc>
          <w:tcPr>
            <w:tcW w:type="dxa" w:w="3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Healthcare data cloud</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Commure</w:t>
            </w:r>
          </w:p>
        </w:tc>
        <w:tc>
          <w:tcPr>
            <w:tcW w:type="dxa" w:w="3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$200M growth round</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Back-office RCM platform</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Tennr</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$101M Series C</w:t>
            </w:r>
          </w:p>
        </w:tc>
        <w:tc>
          <w:tcPr>
            <w:tcW w:type="dxa" w:w="3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Referrals &amp; intake workflows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Hippocratic AI</w:t>
            </w:r>
          </w:p>
        </w:tc>
        <w:tc>
          <w:tcPr>
            <w:tcW w:type="dxa" w:w="3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$141M Series B</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Voice agents for care</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Corti</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$80M Series C, $605M val</w:t>
            </w:r>
          </w:p>
        </w:tc>
        <w:tc>
          <w:tcPr>
            <w:tcW w:type="dxa" w:w="3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Claims appeals AI</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LunaBill (YC F25)</w:t>
            </w:r>
          </w:p>
        </w:tc>
        <w:tc>
          <w:tcPr>
            <w:tcW w:type="dxa" w:w="3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$764K ARR in 4 months</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AI voice for billing calls</w:t>
            </w:r>
          </w:p>
        </w:tc>
      </w:tr>
    </w:tbl>
    <w:p>
      <w:pPr>
        <w:spacing w:after="100"/>
      </w:pPr>
      <w:r>
        <w:t xml:space="preserve"/>
      </w:r>
    </w:p>
    <w:p>
      <w:pPr>
        <w:pStyle w:val="Heading2"/>
        <w:spacing w:after="140" w:before="280"/>
      </w:pPr>
      <w:r>
        <w:rPr>
          <w:b/>
          <w:bCs/>
          <w:color w:val="1F3A5F"/>
          <w:sz w:val="28"/>
          <w:szCs w:val="28"/>
        </w:rPr>
        <w:t xml:space="preserve">2.3 Y Combinator's Stated Thesis (Summer 2026 RFS)</w:t>
      </w:r>
    </w:p>
    <w:p>
      <w:pPr>
        <w:spacing w:after="120" w:line="300"/>
      </w:pPr>
      <w:r>
        <w:t xml:space="preserve">YC just published their Summer 2026 Request for Startups. Partner Gustaf Alströmer explicitly names "Healthcare administration" as a category they want to fund, framed as "replace the service, not the software." The thesis: sell AI as a labor outcome, not a SaaS license. That is exactly the shape of this idea.</w:t>
      </w:r>
    </w:p>
    <w:p>
      <w:pPr>
        <w:pStyle w:val="Heading2"/>
        <w:spacing w:after="140" w:before="280"/>
      </w:pPr>
      <w:r>
        <w:rPr>
          <w:b/>
          <w:bCs/>
          <w:color w:val="1F3A5F"/>
          <w:sz w:val="28"/>
          <w:szCs w:val="28"/>
        </w:rPr>
        <w:t xml:space="preserve">2.4 Crowded vs. Green</w:t>
      </w:r>
    </w:p>
    <w:p>
      <w:pPr>
        <w:pStyle w:val="Heading3"/>
        <w:spacing w:after="100" w:before="220"/>
      </w:pPr>
      <w:r>
        <w:rPr>
          <w:b/>
          <w:bCs/>
          <w:color w:val="2E75B6"/>
          <w:sz w:val="24"/>
          <w:szCs w:val="24"/>
        </w:rPr>
        <w:t xml:space="preserve">Crowded — do not enter</w:t>
      </w:r>
    </w:p>
    <w:p>
      <w:pPr>
        <w:pStyle w:val="ListParagraph"/>
        <w:numPr>
          <w:ilvl w:val="0"/>
          <w:numId w:val="2"/>
        </w:numPr>
        <w:spacing w:after="80" w:line="280"/>
      </w:pPr>
      <w:r>
        <w:t xml:space="preserve">Ambient AI scribes — Abridge, Ambience, Nabla, Freed, Suki, Nuance DAX. Epic ships a native version in 2026.</w:t>
      </w:r>
    </w:p>
    <w:p>
      <w:pPr>
        <w:pStyle w:val="ListParagraph"/>
        <w:numPr>
          <w:ilvl w:val="0"/>
          <w:numId w:val="2"/>
        </w:numPr>
        <w:spacing w:after="80" w:line="280"/>
      </w:pPr>
      <w:r>
        <w:t xml:space="preserve">Generic chat-based clinical decision support.</w:t>
      </w:r>
    </w:p>
    <w:p>
      <w:pPr>
        <w:pStyle w:val="ListParagraph"/>
        <w:numPr>
          <w:ilvl w:val="0"/>
          <w:numId w:val="2"/>
        </w:numPr>
        <w:spacing w:after="80" w:line="280"/>
      </w:pPr>
      <w:r>
        <w:t xml:space="preserve">Single-specialty SaaS plays.</w:t>
      </w:r>
    </w:p>
    <w:p>
      <w:pPr>
        <w:pStyle w:val="Heading3"/>
        <w:spacing w:after="100" w:before="220"/>
      </w:pPr>
      <w:r>
        <w:rPr>
          <w:b/>
          <w:bCs/>
          <w:color w:val="2E75B6"/>
          <w:sz w:val="24"/>
          <w:szCs w:val="24"/>
        </w:rPr>
        <w:t xml:space="preserve">Some traction, room for a sharper wedge</w:t>
      </w:r>
    </w:p>
    <w:p>
      <w:pPr>
        <w:pStyle w:val="ListParagraph"/>
        <w:numPr>
          <w:ilvl w:val="0"/>
          <w:numId w:val="2"/>
        </w:numPr>
        <w:spacing w:after="80" w:line="280"/>
      </w:pPr>
      <w:r>
        <w:t xml:space="preserve">Pure prior-auth automation — Cohere Health, Surescripts, ClaimGlide YC W26.</w:t>
      </w:r>
    </w:p>
    <w:p>
      <w:pPr>
        <w:pStyle w:val="ListParagraph"/>
        <w:numPr>
          <w:ilvl w:val="0"/>
          <w:numId w:val="2"/>
        </w:numPr>
        <w:spacing w:after="80" w:line="280"/>
      </w:pPr>
      <w:r>
        <w:t xml:space="preserve">Pure denial appeals — Corti, Aegis YC X25, Waystar.</w:t>
      </w:r>
    </w:p>
    <w:p>
      <w:pPr>
        <w:pStyle w:val="ListParagraph"/>
        <w:numPr>
          <w:ilvl w:val="0"/>
          <w:numId w:val="2"/>
        </w:numPr>
        <w:spacing w:after="80" w:line="280"/>
      </w:pPr>
      <w:r>
        <w:t xml:space="preserve">Pure intake / referrals — Tennr.</w:t>
      </w:r>
    </w:p>
    <w:p>
      <w:pPr>
        <w:pStyle w:val="Heading3"/>
        <w:spacing w:after="100" w:before="220"/>
      </w:pPr>
      <w:r>
        <w:rPr>
          <w:b/>
          <w:bCs/>
          <w:color w:val="2E75B6"/>
          <w:sz w:val="24"/>
          <w:szCs w:val="24"/>
        </w:rPr>
        <w:t xml:space="preserve">Green — underbuilt and platform-shaped</w:t>
      </w:r>
    </w:p>
    <w:p>
      <w:pPr>
        <w:pStyle w:val="ListParagraph"/>
        <w:numPr>
          <w:ilvl w:val="0"/>
          <w:numId w:val="2"/>
        </w:numPr>
        <w:spacing w:after="80" w:line="280"/>
      </w:pPr>
      <w:r>
        <w:t xml:space="preserve">The unified back-office layer — one platform doing ALL payer-side workflows for a practice. Every existing competitor owns one slice. None is the horizontal platform.</w:t>
      </w:r>
    </w:p>
    <w:p>
      <w:r>
        <w:br w:type="page"/>
      </w:r>
    </w:p>
    <w:p>
      <w:pPr>
        <w:pStyle w:val="Heading1"/>
        <w:pBdr>
          <w:bottom w:val="single" w:color="2E75B6" w:sz="8" w:space="4"/>
        </w:pBdr>
        <w:spacing w:after="180" w:before="360"/>
      </w:pPr>
      <w:r>
        <w:rPr>
          <w:b/>
          <w:bCs/>
          <w:color w:val="1F3A5F"/>
          <w:sz w:val="36"/>
          <w:szCs w:val="36"/>
        </w:rPr>
        <w:t xml:space="preserve">3. The Idea in Detail</w:t>
      </w:r>
    </w:p>
    <w:p>
      <w:pPr>
        <w:spacing w:after="120" w:line="300"/>
      </w:pPr>
      <w:r>
        <w:t xml:space="preserve">A single platform whose AI agents handle every payer-facing back-office workflow for a medical practice, end-to-end. The provider doesn't license software — they fire (or never hire) their billing and RCM team and we charge per outcome.</w:t>
      </w:r>
    </w:p>
    <w:p>
      <w:pPr>
        <w:pStyle w:val="Heading2"/>
        <w:spacing w:after="140" w:before="280"/>
      </w:pPr>
      <w:r>
        <w:rPr>
          <w:b/>
          <w:bCs/>
          <w:color w:val="1F3A5F"/>
          <w:sz w:val="28"/>
          <w:szCs w:val="28"/>
        </w:rPr>
        <w:t xml:space="preserve">3.1 The Five Core Workflows (In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360"/>
        <w:gridCol w:w="2300"/>
      </w:tblGrid>
      <w:tr>
        <w:trPr>
          <w:tblHeader/>
        </w:trPr>
        <w:tc>
          <w:tcPr>
            <w:tcW w:type="dxa" w:w="5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w:t>
            </w:r>
          </w:p>
        </w:tc>
        <w:tc>
          <w:tcPr>
            <w:tcW w:type="dxa" w:w="22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Workflow</w:t>
            </w:r>
          </w:p>
        </w:tc>
        <w:tc>
          <w:tcPr>
            <w:tcW w:type="dxa" w:w="436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What the Agent Does</w:t>
            </w:r>
          </w:p>
        </w:tc>
        <w:tc>
          <w:tcPr>
            <w:tcW w:type="dxa" w:w="23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Revenue Model</w:t>
            </w:r>
          </w:p>
        </w:tc>
      </w:tr>
      <w:tr>
        <w:tc>
          <w:tcPr>
            <w:tcW w:type="dxa" w:w="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Denial follow-up &amp; appeals</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Reads ERA/EOB, classifies denial, drafts payer-specific appeal with chart citations, submits via portal/fax, follows up by phone</w:t>
            </w:r>
          </w:p>
        </w:tc>
        <w:tc>
          <w:tcPr>
            <w:tcW w:type="dxa" w:w="2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25% of recovered denied revenue</w:t>
            </w:r>
          </w:p>
        </w:tc>
      </w:tr>
      <w:tr>
        <w:tc>
          <w:tcPr>
            <w:tcW w:type="dxa" w:w="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Claim status calls</w:t>
            </w:r>
          </w:p>
        </w:tc>
        <w:tc>
          <w:tcPr>
            <w:tcW w:type="dxa" w:w="4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Calls payer IVRs, navigates menus, talks to reps, extracts status, updates EHR/PM</w:t>
            </w:r>
          </w:p>
        </w:tc>
        <w:tc>
          <w:tcPr>
            <w:tcW w:type="dxa" w:w="23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$2–4 per completed call</w:t>
            </w:r>
          </w:p>
        </w:tc>
      </w:tr>
      <w:tr>
        <w:tc>
          <w:tcPr>
            <w:tcW w:type="dxa" w:w="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3</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Prior authorization</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Detects PA need, gathers documentation, submits via portal/fax/ePA, monitors status</w:t>
            </w:r>
          </w:p>
        </w:tc>
        <w:tc>
          <w:tcPr>
            <w:tcW w:type="dxa" w:w="2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$25–50 per completed PA</w:t>
            </w:r>
          </w:p>
        </w:tc>
      </w:tr>
      <w:tr>
        <w:tc>
          <w:tcPr>
            <w:tcW w:type="dxa" w:w="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Eligibility verification</w:t>
            </w:r>
          </w:p>
        </w:tc>
        <w:tc>
          <w:tcPr>
            <w:tcW w:type="dxa" w:w="4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Pre-visit eligibility, copay/deductible lookup, flags coverage issues</w:t>
            </w:r>
          </w:p>
        </w:tc>
        <w:tc>
          <w:tcPr>
            <w:tcW w:type="dxa" w:w="23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$0.50–1.00 per check</w:t>
            </w:r>
          </w:p>
        </w:tc>
      </w:tr>
      <w:tr>
        <w:tc>
          <w:tcPr>
            <w:tcW w:type="dxa" w:w="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5</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Credentialing follow-up</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Chases enrollment status, submits re-credentialing</w:t>
            </w:r>
          </w:p>
        </w:tc>
        <w:tc>
          <w:tcPr>
            <w:tcW w:type="dxa" w:w="2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Flat per provider per cycle</w:t>
            </w:r>
          </w:p>
        </w:tc>
      </w:tr>
    </w:tbl>
    <w:p>
      <w:pPr>
        <w:spacing w:after="100"/>
      </w:pPr>
      <w:r>
        <w:t xml:space="preserve"/>
      </w:r>
    </w:p>
    <w:p>
      <w:pPr>
        <w:pStyle w:val="Heading2"/>
        <w:spacing w:after="140" w:before="280"/>
      </w:pPr>
      <w:r>
        <w:rPr>
          <w:b/>
          <w:bCs/>
          <w:color w:val="1F3A5F"/>
          <w:sz w:val="28"/>
          <w:szCs w:val="28"/>
        </w:rPr>
        <w:t xml:space="preserve">3.2 Why This Shape Wins</w:t>
      </w:r>
    </w:p>
    <w:p>
      <w:pPr>
        <w:pStyle w:val="ListParagraph"/>
        <w:numPr>
          <w:ilvl w:val="0"/>
          <w:numId w:val="3"/>
        </w:numPr>
        <w:spacing w:after="80" w:line="280"/>
      </w:pPr>
      <w:r>
        <w:t xml:space="preserve">Horizontal by construction — every specialty and every practice size needs all five workflows. Not bound to dermatology or behavioral health.</w:t>
      </w:r>
    </w:p>
    <w:p>
      <w:pPr>
        <w:pStyle w:val="ListParagraph"/>
        <w:numPr>
          <w:ilvl w:val="0"/>
          <w:numId w:val="3"/>
        </w:numPr>
        <w:spacing w:after="80" w:line="280"/>
      </w:pPr>
      <w:r>
        <w:t xml:space="preserve">The wedge is voice + browser, not chat — already proven by LunaBill ($764K ARR in 4 months), Tennr, and Attuned Intelligence.</w:t>
      </w:r>
    </w:p>
    <w:p>
      <w:pPr>
        <w:pStyle w:val="ListParagraph"/>
        <w:numPr>
          <w:ilvl w:val="0"/>
          <w:numId w:val="3"/>
        </w:numPr>
        <w:spacing w:after="80" w:line="280"/>
      </w:pPr>
      <w:r>
        <w:t xml:space="preserve">Outcomes-based pricing aligns incentives perfectly. When your interests match the customer's, sales cycles compress.</w:t>
      </w:r>
    </w:p>
    <w:p>
      <w:pPr>
        <w:pStyle w:val="ListParagraph"/>
        <w:numPr>
          <w:ilvl w:val="0"/>
          <w:numId w:val="3"/>
        </w:numPr>
        <w:spacing w:after="80" w:line="280"/>
      </w:pPr>
      <w:r>
        <w:t xml:space="preserve">Competitive set is fragmented — each competitor owns one slice. Sell #1 then expand into #2–5 with the same customer on the same infrastructure.</w:t>
      </w:r>
    </w:p>
    <w:p>
      <w:pPr>
        <w:pStyle w:val="ListParagraph"/>
        <w:numPr>
          <w:ilvl w:val="0"/>
          <w:numId w:val="3"/>
        </w:numPr>
        <w:spacing w:after="80" w:line="280"/>
      </w:pPr>
      <w:r>
        <w:t xml:space="preserve">Defensible because integrations compound. Every new payer portal navigated, every new IVR mapped, every new appeal template is a permanent asset.</w:t>
      </w:r>
    </w:p>
    <w:p>
      <w:r>
        <w:br w:type="page"/>
      </w:r>
    </w:p>
    <w:p>
      <w:pPr>
        <w:pStyle w:val="Heading1"/>
        <w:pBdr>
          <w:bottom w:val="single" w:color="2E75B6" w:sz="8" w:space="4"/>
        </w:pBdr>
        <w:spacing w:after="180" w:before="360"/>
      </w:pPr>
      <w:r>
        <w:rPr>
          <w:b/>
          <w:bCs/>
          <w:color w:val="1F3A5F"/>
          <w:sz w:val="36"/>
          <w:szCs w:val="36"/>
        </w:rPr>
        <w:t xml:space="preserve">4. Target Customer &amp; Wedge</w:t>
      </w:r>
    </w:p>
    <w:p>
      <w:pPr>
        <w:pStyle w:val="Heading2"/>
        <w:spacing w:after="140" w:before="280"/>
      </w:pPr>
      <w:r>
        <w:rPr>
          <w:b/>
          <w:bCs/>
          <w:color w:val="1F3A5F"/>
          <w:sz w:val="28"/>
          <w:szCs w:val="28"/>
        </w:rPr>
        <w:t xml:space="preserve">4.1 Primary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EAF1F8" w:val="clear"/>
            <w:tcMar>
              <w:top w:type="dxa" w:w="200"/>
              <w:left w:type="dxa" w:w="240"/>
              <w:bottom w:type="dxa" w:w="200"/>
              <w:right w:type="dxa" w:w="240"/>
            </w:tcMar>
          </w:tcPr>
          <w:p>
            <w:pPr>
              <w:spacing w:after="100"/>
            </w:pPr>
            <w:r>
              <w:rPr>
                <w:b/>
                <w:bCs/>
                <w:color w:val="1F3A5F"/>
                <w:sz w:val="22"/>
                <w:szCs w:val="22"/>
              </w:rPr>
              <w:t xml:space="preserve">Independent specialty practices, 5–50 providers</w:t>
            </w:r>
          </w:p>
          <w:p>
            <w:pPr>
              <w:spacing w:line="300"/>
            </w:pPr>
            <w:r>
              <w:rPr>
                <w:sz w:val="22"/>
                <w:szCs w:val="22"/>
              </w:rPr>
              <w:t xml:space="preserve">Currently outsourcing billing to a third-party billing company that charges 4–8% of collections. No procurement gauntlet, no IT review board. Decision-maker is the practice manager or owner-physician. They can switch in 30 days.</w:t>
            </w:r>
          </w:p>
        </w:tc>
      </w:tr>
    </w:tbl>
    <w:p>
      <w:pPr>
        <w:pStyle w:val="Heading3"/>
        <w:spacing w:after="100" w:before="220"/>
      </w:pPr>
      <w:r>
        <w:rPr>
          <w:b/>
          <w:bCs/>
          <w:color w:val="2E75B6"/>
          <w:sz w:val="24"/>
          <w:szCs w:val="24"/>
        </w:rPr>
        <w:t xml:space="preserve">Specialty priority order (highest pain per dollar)</w:t>
      </w:r>
    </w:p>
    <w:p>
      <w:pPr>
        <w:pStyle w:val="ListParagraph"/>
        <w:numPr>
          <w:ilvl w:val="0"/>
          <w:numId w:val="3"/>
        </w:numPr>
        <w:spacing w:after="80" w:line="280"/>
      </w:pPr>
      <w:r>
        <w:t xml:space="preserve">Behavioral health / psychiatry — denial-heavy, low billing-team density</w:t>
      </w:r>
    </w:p>
    <w:p>
      <w:pPr>
        <w:pStyle w:val="ListParagraph"/>
        <w:numPr>
          <w:ilvl w:val="0"/>
          <w:numId w:val="3"/>
        </w:numPr>
        <w:spacing w:after="80" w:line="280"/>
      </w:pPr>
      <w:r>
        <w:t xml:space="preserve">Physical therapy — high volume, low ticket, denial-heavy</w:t>
      </w:r>
    </w:p>
    <w:p>
      <w:pPr>
        <w:pStyle w:val="ListParagraph"/>
        <w:numPr>
          <w:ilvl w:val="0"/>
          <w:numId w:val="3"/>
        </w:numPr>
        <w:spacing w:after="80" w:line="280"/>
      </w:pPr>
      <w:r>
        <w:t xml:space="preserve">Dermatology — high-volume claims, surgical mix</w:t>
      </w:r>
    </w:p>
    <w:p>
      <w:pPr>
        <w:pStyle w:val="ListParagraph"/>
        <w:numPr>
          <w:ilvl w:val="0"/>
          <w:numId w:val="3"/>
        </w:numPr>
        <w:spacing w:after="80" w:line="280"/>
      </w:pPr>
      <w:r>
        <w:t xml:space="preserve">Orthopedics — mid-sized practices, surgical claims</w:t>
      </w:r>
    </w:p>
    <w:p>
      <w:pPr>
        <w:pStyle w:val="ListParagraph"/>
        <w:numPr>
          <w:ilvl w:val="0"/>
          <w:numId w:val="3"/>
        </w:numPr>
        <w:spacing w:after="80" w:line="280"/>
      </w:pPr>
      <w:r>
        <w:t xml:space="preserve">GI / endoscopy</w:t>
      </w:r>
    </w:p>
    <w:p>
      <w:pPr>
        <w:spacing w:after="120" w:line="300"/>
      </w:pPr>
      <w:r>
        <w:rPr>
          <w:i/>
          <w:iCs/>
          <w:color w:val="555555"/>
        </w:rPr>
        <w:t xml:space="preserve">Avoid first: oncology (too high-stakes for first deployments) and primary care (margins too thin).</w:t>
      </w:r>
    </w:p>
    <w:p>
      <w:pPr>
        <w:pStyle w:val="Heading2"/>
        <w:spacing w:after="140" w:before="280"/>
      </w:pPr>
      <w:r>
        <w:rPr>
          <w:b/>
          <w:bCs/>
          <w:color w:val="1F3A5F"/>
          <w:sz w:val="28"/>
          <w:szCs w:val="28"/>
        </w:rPr>
        <w:t xml:space="preserve">4.2 The Wedge: Denial Appeals First</w:t>
      </w:r>
    </w:p>
    <w:p>
      <w:pPr>
        <w:spacing w:after="120" w:line="300"/>
      </w:pPr>
      <w:r>
        <w:t xml:space="preserve">Start with workflow #1 only. The reasoning:</w:t>
      </w:r>
    </w:p>
    <w:p>
      <w:pPr>
        <w:pStyle w:val="ListParagraph"/>
        <w:numPr>
          <w:ilvl w:val="0"/>
          <w:numId w:val="2"/>
        </w:numPr>
        <w:spacing w:after="80" w:line="280"/>
      </w:pPr>
      <w:r>
        <w:t xml:space="preserve">Highest dollar-per-call leverage — a single appeal can recover $500–$10K</w:t>
      </w:r>
    </w:p>
    <w:p>
      <w:pPr>
        <w:pStyle w:val="ListParagraph"/>
        <w:numPr>
          <w:ilvl w:val="0"/>
          <w:numId w:val="2"/>
        </w:numPr>
        <w:spacing w:after="80" w:line="280"/>
      </w:pPr>
      <w:r>
        <w:t xml:space="preserve">ROI provable in week 1</w:t>
      </w:r>
    </w:p>
    <w:p>
      <w:pPr>
        <w:pStyle w:val="ListParagraph"/>
        <w:numPr>
          <w:ilvl w:val="0"/>
          <w:numId w:val="2"/>
        </w:numPr>
        <w:spacing w:after="80" w:line="280"/>
      </w:pPr>
      <w:r>
        <w:t xml:space="preserve">Practices accept that some denials go unworked — you capture pure margin they had already written off</w:t>
      </w:r>
    </w:p>
    <w:p>
      <w:pPr>
        <w:pStyle w:val="ListParagraph"/>
        <w:numPr>
          <w:ilvl w:val="0"/>
          <w:numId w:val="2"/>
        </w:numPr>
        <w:spacing w:after="80" w:line="280"/>
      </w:pPr>
      <w:r>
        <w:t xml:space="preserve">It's a backstop, not a replacement — easier to sell as augmentation</w:t>
      </w:r>
    </w:p>
    <w:p>
      <w:pPr>
        <w:spacing w:after="120" w:line="300"/>
      </w:pPr>
      <w:r>
        <w:rPr>
          <w:b/>
          <w:bCs/>
        </w:rPr>
        <w:t xml:space="preserve">Then expand: month 4 add status calls, month 7 add eligibility, month 10 add prior auth, year 2 add credentialing.</w:t>
      </w:r>
    </w:p>
    <w:p>
      <w:r>
        <w:br w:type="page"/>
      </w:r>
    </w:p>
    <w:p>
      <w:pPr>
        <w:pStyle w:val="Heading1"/>
        <w:pBdr>
          <w:bottom w:val="single" w:color="2E75B6" w:sz="8" w:space="4"/>
        </w:pBdr>
        <w:spacing w:after="180" w:before="360"/>
      </w:pPr>
      <w:r>
        <w:rPr>
          <w:b/>
          <w:bCs/>
          <w:color w:val="1F3A5F"/>
          <w:sz w:val="36"/>
          <w:szCs w:val="36"/>
        </w:rPr>
        <w:t xml:space="preserve">5. Pricing &amp; Unit Economics</w:t>
      </w:r>
    </w:p>
    <w:p>
      <w:pPr>
        <w:pStyle w:val="Heading2"/>
        <w:spacing w:after="140" w:before="280"/>
      </w:pPr>
      <w:r>
        <w:rPr>
          <w:b/>
          <w:bCs/>
          <w:color w:val="1F3A5F"/>
          <w:sz w:val="28"/>
          <w:szCs w:val="28"/>
        </w:rPr>
        <w:t xml:space="preserve">5.1 Pricing Model</w:t>
      </w:r>
    </w:p>
    <w:p>
      <w:pPr>
        <w:spacing w:after="120" w:line="300"/>
      </w:pPr>
      <w:r>
        <w:rPr>
          <w:b/>
          <w:bCs/>
        </w:rPr>
        <w:t xml:space="preserve">Recommended: percentage of recovered revenue, no monthly minimum, no setup fee.</w:t>
      </w:r>
    </w:p>
    <w:p>
      <w:pPr>
        <w:pStyle w:val="ListParagraph"/>
        <w:numPr>
          <w:ilvl w:val="0"/>
          <w:numId w:val="2"/>
        </w:numPr>
        <w:spacing w:after="80" w:line="280"/>
      </w:pPr>
      <w:r>
        <w:t xml:space="preserve">Denial appeals: 25% of recovered denied claims</w:t>
      </w:r>
    </w:p>
    <w:p>
      <w:pPr>
        <w:pStyle w:val="ListParagraph"/>
        <w:numPr>
          <w:ilvl w:val="0"/>
          <w:numId w:val="2"/>
        </w:numPr>
        <w:spacing w:after="80" w:line="280"/>
      </w:pPr>
      <w:r>
        <w:t xml:space="preserve">Status calls: $2–4 per completed call</w:t>
      </w:r>
    </w:p>
    <w:p>
      <w:pPr>
        <w:pStyle w:val="ListParagraph"/>
        <w:numPr>
          <w:ilvl w:val="0"/>
          <w:numId w:val="2"/>
        </w:numPr>
        <w:spacing w:after="80" w:line="280"/>
      </w:pPr>
      <w:r>
        <w:t xml:space="preserve">Eligibility checks: $0.50–1.00 per verified patient</w:t>
      </w:r>
    </w:p>
    <w:p>
      <w:pPr>
        <w:pStyle w:val="ListParagraph"/>
        <w:numPr>
          <w:ilvl w:val="0"/>
          <w:numId w:val="2"/>
        </w:numPr>
        <w:spacing w:after="80" w:line="280"/>
      </w:pPr>
      <w:r>
        <w:t xml:space="preserve">Prior auths: $25–50 per completed PA</w:t>
      </w:r>
    </w:p>
    <w:p>
      <w:pPr>
        <w:pStyle w:val="Heading2"/>
        <w:spacing w:after="140" w:before="280"/>
      </w:pPr>
      <w:r>
        <w:rPr>
          <w:b/>
          <w:bCs/>
          <w:color w:val="1F3A5F"/>
          <w:sz w:val="28"/>
          <w:szCs w:val="28"/>
        </w:rPr>
        <w:t xml:space="preserve">5.2 Customer Unit Economics</w:t>
      </w:r>
    </w:p>
    <w:p>
      <w:pPr>
        <w:spacing w:after="120" w:line="300"/>
      </w:pPr>
      <w:r>
        <w:t xml:space="preserve">Mid-size practice example, 20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Metric</w:t>
            </w:r>
          </w:p>
        </w:tc>
        <w:tc>
          <w:tcPr>
            <w:tcW w:type="dxa" w:w="468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Value</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Claim volume / year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~50,000</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Denial rate</w:t>
            </w:r>
          </w:p>
        </w:tc>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12% (6,000 denials)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Avg denied claim value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$400</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Currently recovered (manual, 40%)</w:t>
            </w:r>
          </w:p>
        </w:tc>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$960,000</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Recovered with AI (75%)</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$1,800,000</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Incremental recovery</w:t>
            </w:r>
          </w:p>
        </w:tc>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$840,000 / year</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Your fee at 25%</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$210,000 ARR per customer</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Your cost per appeal</w:t>
            </w:r>
          </w:p>
        </w:tc>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~$3–5 (LLM + voice + browser)</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Your annual cost (6,000 appeals × $4)</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$24,000</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Gross margin per customer</w:t>
            </w:r>
          </w:p>
        </w:tc>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~88%</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EAF1F8" w:val="clear"/>
            <w:tcMar>
              <w:top w:type="dxa" w:w="200"/>
              <w:left w:type="dxa" w:w="240"/>
              <w:bottom w:type="dxa" w:w="200"/>
              <w:right w:type="dxa" w:w="240"/>
            </w:tcMar>
          </w:tcPr>
          <w:p>
            <w:pPr>
              <w:spacing w:after="100"/>
            </w:pPr>
            <w:r>
              <w:rPr>
                <w:b/>
                <w:bCs/>
                <w:color w:val="1F3A5F"/>
                <w:sz w:val="22"/>
                <w:szCs w:val="22"/>
              </w:rPr>
              <w:t xml:space="preserve">Scale math</w:t>
            </w:r>
          </w:p>
          <w:p>
            <w:pPr>
              <w:spacing w:line="300"/>
            </w:pPr>
            <w:r>
              <w:rPr>
                <w:sz w:val="22"/>
                <w:szCs w:val="22"/>
              </w:rPr>
              <w:t xml:space="preserve">100 customers × $210K ARR = $21M ARR at 88% margin. That's a default-alive Series A trajectory before adding the other four workflows.</w:t>
            </w:r>
          </w:p>
        </w:tc>
      </w:tr>
    </w:tbl>
    <w:p>
      <w:pPr>
        <w:pStyle w:val="Heading2"/>
        <w:spacing w:after="140" w:before="280"/>
      </w:pPr>
      <w:r>
        <w:rPr>
          <w:b/>
          <w:bCs/>
          <w:color w:val="1F3A5F"/>
          <w:sz w:val="28"/>
          <w:szCs w:val="28"/>
        </w:rPr>
        <w:t xml:space="preserve">5.3 The Pricing Hack That Makes Sales Frictionless</w:t>
      </w:r>
    </w:p>
    <w:p>
      <w:pPr>
        <w:spacing w:after="120" w:line="300"/>
      </w:pPr>
      <w:r>
        <w:t xml:space="preserve">Charge nothing upfront. No setup fee. No monthly minimum. You only earn when you recover money the practice had already written off. There is literally no downside risk to the customer — making every sales call a no-brainer. Hospitals will demand contracts, but independent practices will sign in one meeting.</w:t>
      </w:r>
    </w:p>
    <w:p>
      <w:r>
        <w:br w:type="page"/>
      </w:r>
    </w:p>
    <w:p>
      <w:pPr>
        <w:pStyle w:val="Heading1"/>
        <w:pBdr>
          <w:bottom w:val="single" w:color="2E75B6" w:sz="8" w:space="4"/>
        </w:pBdr>
        <w:spacing w:after="180" w:before="360"/>
      </w:pPr>
      <w:r>
        <w:rPr>
          <w:b/>
          <w:bCs/>
          <w:color w:val="1F3A5F"/>
          <w:sz w:val="36"/>
          <w:szCs w:val="36"/>
        </w:rPr>
        <w:t xml:space="preserve">6. Go-to-Market: First 90 Days</w:t>
      </w:r>
    </w:p>
    <w:p>
      <w:pPr>
        <w:pStyle w:val="Heading2"/>
        <w:spacing w:after="140" w:before="280"/>
      </w:pPr>
      <w:r>
        <w:rPr>
          <w:b/>
          <w:bCs/>
          <w:color w:val="1F3A5F"/>
          <w:sz w:val="28"/>
          <w:szCs w:val="28"/>
        </w:rPr>
        <w:t xml:space="preserve">Days 1–14: Pick the Beachhead</w:t>
      </w:r>
    </w:p>
    <w:p>
      <w:pPr>
        <w:pStyle w:val="ListParagraph"/>
        <w:numPr>
          <w:ilvl w:val="0"/>
          <w:numId w:val="2"/>
        </w:numPr>
        <w:spacing w:after="80" w:line="280"/>
      </w:pPr>
      <w:r>
        <w:t xml:space="preserve">Choose ONE specialty (recommend behavioral health or PT)</w:t>
      </w:r>
    </w:p>
    <w:p>
      <w:pPr>
        <w:pStyle w:val="ListParagraph"/>
        <w:numPr>
          <w:ilvl w:val="0"/>
          <w:numId w:val="2"/>
        </w:numPr>
        <w:spacing w:after="80" w:line="280"/>
      </w:pPr>
      <w:r>
        <w:t xml:space="preserve">Pick ONE EHR/PM to integrate first (recommend Athena or DrChrono — open APIs)</w:t>
      </w:r>
    </w:p>
    <w:p>
      <w:pPr>
        <w:pStyle w:val="ListParagraph"/>
        <w:numPr>
          <w:ilvl w:val="0"/>
          <w:numId w:val="2"/>
        </w:numPr>
        <w:spacing w:after="80" w:line="280"/>
      </w:pPr>
      <w:r>
        <w:t xml:space="preserve">Build a list of 200 target practices in 2–3 metros (Definitive Healthcare, Carevoyance, public Medicare provider data)</w:t>
      </w:r>
    </w:p>
    <w:p>
      <w:pPr>
        <w:pStyle w:val="Heading2"/>
        <w:spacing w:after="140" w:before="280"/>
      </w:pPr>
      <w:r>
        <w:rPr>
          <w:b/>
          <w:bCs/>
          <w:color w:val="1F3A5F"/>
          <w:sz w:val="28"/>
          <w:szCs w:val="28"/>
        </w:rPr>
        <w:t xml:space="preserve">Days 15–45: Land 3 Free Pilots</w:t>
      </w:r>
    </w:p>
    <w:p>
      <w:pPr>
        <w:pStyle w:val="ListParagraph"/>
        <w:numPr>
          <w:ilvl w:val="0"/>
          <w:numId w:val="2"/>
        </w:numPr>
        <w:spacing w:after="80" w:line="280"/>
      </w:pPr>
      <w:r>
        <w:t xml:space="preserve">Cold outreach by founder. No SDRs. Email + LinkedIn DM + in-person if local.</w:t>
      </w:r>
    </w:p>
    <w:p>
      <w:pPr>
        <w:pStyle w:val="ListParagraph"/>
        <w:numPr>
          <w:ilvl w:val="0"/>
          <w:numId w:val="2"/>
        </w:numPr>
        <w:spacing w:after="80" w:line="280"/>
      </w:pPr>
      <w:r>
        <w:t xml:space="preserve">Pitch: "We work your denied claims for free for 60 days. If we recover anything, you pay 25% of recoveries only."</w:t>
      </w:r>
    </w:p>
    <w:p>
      <w:pPr>
        <w:pStyle w:val="ListParagraph"/>
        <w:numPr>
          <w:ilvl w:val="0"/>
          <w:numId w:val="2"/>
        </w:numPr>
        <w:spacing w:after="80" w:line="280"/>
      </w:pPr>
      <w:r>
        <w:t xml:space="preserve">Goal: 3 pilots signed by day 45</w:t>
      </w:r>
    </w:p>
    <w:p>
      <w:pPr>
        <w:pStyle w:val="ListParagraph"/>
        <w:numPr>
          <w:ilvl w:val="0"/>
          <w:numId w:val="2"/>
        </w:numPr>
        <w:spacing w:after="80" w:line="280"/>
      </w:pPr>
      <w:r>
        <w:t xml:space="preserve">Two-page pilot agreement drafted by a healthcare-specialized attorney (not generic startup counsel)</w:t>
      </w:r>
    </w:p>
    <w:p>
      <w:pPr>
        <w:pStyle w:val="Heading2"/>
        <w:spacing w:after="140" w:before="280"/>
      </w:pPr>
      <w:r>
        <w:rPr>
          <w:b/>
          <w:bCs/>
          <w:color w:val="1F3A5F"/>
          <w:sz w:val="28"/>
          <w:szCs w:val="28"/>
        </w:rPr>
        <w:t xml:space="preserve">Days 46–90: Prove ROI, Convert, Reference-Sell</w:t>
      </w:r>
    </w:p>
    <w:p>
      <w:pPr>
        <w:pStyle w:val="ListParagraph"/>
        <w:numPr>
          <w:ilvl w:val="0"/>
          <w:numId w:val="2"/>
        </w:numPr>
        <w:spacing w:after="80" w:line="280"/>
      </w:pPr>
      <w:r>
        <w:t xml:space="preserve">Run agents in shadow mode — agent drafts, human approves, then submits</w:t>
      </w:r>
    </w:p>
    <w:p>
      <w:pPr>
        <w:pStyle w:val="ListParagraph"/>
        <w:numPr>
          <w:ilvl w:val="0"/>
          <w:numId w:val="2"/>
        </w:numPr>
        <w:spacing w:after="80" w:line="280"/>
      </w:pPr>
      <w:r>
        <w:t xml:space="preserve">Public dashboard the customer can see, tracking every recovery</w:t>
      </w:r>
    </w:p>
    <w:p>
      <w:pPr>
        <w:pStyle w:val="ListParagraph"/>
        <w:numPr>
          <w:ilvl w:val="0"/>
          <w:numId w:val="2"/>
        </w:numPr>
        <w:spacing w:after="80" w:line="280"/>
      </w:pPr>
      <w:r>
        <w:t xml:space="preserve">Convert pilots to paid by day 75</w:t>
      </w:r>
    </w:p>
    <w:p>
      <w:pPr>
        <w:pStyle w:val="ListParagraph"/>
        <w:numPr>
          <w:ilvl w:val="0"/>
          <w:numId w:val="2"/>
        </w:numPr>
        <w:spacing w:after="80" w:line="280"/>
      </w:pPr>
      <w:r>
        <w:t xml:space="preserve">Get written case studies with dollar figures</w:t>
      </w:r>
    </w:p>
    <w:p>
      <w:pPr>
        <w:pStyle w:val="ListParagraph"/>
        <w:numPr>
          <w:ilvl w:val="0"/>
          <w:numId w:val="2"/>
        </w:numPr>
        <w:spacing w:after="80" w:line="280"/>
      </w:pPr>
      <w:r>
        <w:t xml:space="preserve">Use those 3 case studies as ammo for the next 20 customers</w:t>
      </w:r>
    </w:p>
    <w:p>
      <w:pPr>
        <w:pStyle w:val="Heading2"/>
        <w:spacing w:after="140" w:before="280"/>
      </w:pPr>
      <w:r>
        <w:rPr>
          <w:b/>
          <w:bCs/>
          <w:color w:val="1F3A5F"/>
          <w:sz w:val="28"/>
          <w:szCs w:val="28"/>
        </w:rPr>
        <w:t xml:space="preserve">Days 91+: Scale</w:t>
      </w:r>
    </w:p>
    <w:p>
      <w:pPr>
        <w:pStyle w:val="ListParagraph"/>
        <w:numPr>
          <w:ilvl w:val="0"/>
          <w:numId w:val="2"/>
        </w:numPr>
        <w:spacing w:after="80" w:line="280"/>
      </w:pPr>
      <w:r>
        <w:t xml:space="preserve">Hire Head of Operations — former biller from a top RCM company</w:t>
      </w:r>
    </w:p>
    <w:p>
      <w:pPr>
        <w:pStyle w:val="ListParagraph"/>
        <w:numPr>
          <w:ilvl w:val="0"/>
          <w:numId w:val="2"/>
        </w:numPr>
        <w:spacing w:after="80" w:line="280"/>
      </w:pPr>
      <w:r>
        <w:t xml:space="preserve">Add one specialty per quarter</w:t>
      </w:r>
    </w:p>
    <w:p>
      <w:pPr>
        <w:pStyle w:val="ListParagraph"/>
        <w:numPr>
          <w:ilvl w:val="0"/>
          <w:numId w:val="2"/>
        </w:numPr>
        <w:spacing w:after="80" w:line="280"/>
      </w:pPr>
      <w:r>
        <w:t xml:space="preserve">Start workflows #2 and #3</w:t>
      </w:r>
    </w:p>
    <w:p>
      <w:pPr>
        <w:pStyle w:val="ListParagraph"/>
        <w:numPr>
          <w:ilvl w:val="0"/>
          <w:numId w:val="2"/>
        </w:numPr>
        <w:spacing w:after="80" w:line="280"/>
      </w:pPr>
      <w:r>
        <w:t xml:space="preserve">Begin YC application for the next batch</w:t>
      </w:r>
    </w:p>
    <w:p>
      <w:r>
        <w:br w:type="page"/>
      </w:r>
    </w:p>
    <w:p>
      <w:pPr>
        <w:pStyle w:val="Heading1"/>
        <w:pBdr>
          <w:bottom w:val="single" w:color="2E75B6" w:sz="8" w:space="4"/>
        </w:pBdr>
        <w:spacing w:after="180" w:before="360"/>
      </w:pPr>
      <w:r>
        <w:rPr>
          <w:b/>
          <w:bCs/>
          <w:color w:val="1F3A5F"/>
          <w:sz w:val="36"/>
          <w:szCs w:val="36"/>
        </w:rPr>
        <w:t xml:space="preserve">7. Competitive Landscape</w:t>
      </w:r>
    </w:p>
    <w:p>
      <w:pPr>
        <w:pStyle w:val="Heading2"/>
        <w:spacing w:after="140" w:before="280"/>
      </w:pPr>
      <w:r>
        <w:rPr>
          <w:b/>
          <w:bCs/>
          <w:color w:val="1F3A5F"/>
          <w:sz w:val="28"/>
          <w:szCs w:val="28"/>
        </w:rPr>
        <w:t xml:space="preserve">Direct Competitors (Single-Workflow,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rPr>
          <w:tblHeader/>
        </w:trPr>
        <w:tc>
          <w:tcPr>
            <w:tcW w:type="dxa" w:w="22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Company</w:t>
            </w:r>
          </w:p>
        </w:tc>
        <w:tc>
          <w:tcPr>
            <w:tcW w:type="dxa" w:w="18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Funding</w:t>
            </w:r>
          </w:p>
        </w:tc>
        <w:tc>
          <w:tcPr>
            <w:tcW w:type="dxa" w:w="268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Their Wedge</w:t>
            </w:r>
          </w:p>
        </w:tc>
        <w:tc>
          <w:tcPr>
            <w:tcW w:type="dxa" w:w="268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Their Weakness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Tennr</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$101M Series C</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Referrals / intake</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Doesn't do appeals or PA</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Cohere Health</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$50M+</w:t>
            </w:r>
          </w:p>
        </w:tc>
        <w:tc>
          <w:tcPr>
            <w:tcW w:type="dxa" w:w="2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Payer-side PA</w:t>
            </w:r>
          </w:p>
        </w:tc>
        <w:tc>
          <w:tcPr>
            <w:tcW w:type="dxa" w:w="2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Sells to payers, not providers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Corti</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$80M, $605M val</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Claims appeals AI</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Enterprise-only</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LunaBill (YC F25)</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$764K ARR</w:t>
            </w:r>
          </w:p>
        </w:tc>
        <w:tc>
          <w:tcPr>
            <w:tcW w:type="dxa" w:w="2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Voice for billing calls</w:t>
            </w:r>
          </w:p>
        </w:tc>
        <w:tc>
          <w:tcPr>
            <w:tcW w:type="dxa" w:w="2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One workflow, just launched</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Aegis (YC X25)</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Seed</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Denial appeals</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Single-workflow</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ClaimGlide (YC W26)</w:t>
            </w:r>
          </w:p>
        </w:tc>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Seed</w:t>
            </w:r>
          </w:p>
        </w:tc>
        <w:tc>
          <w:tcPr>
            <w:tcW w:type="dxa" w:w="2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PA only</w:t>
            </w:r>
          </w:p>
        </w:tc>
        <w:tc>
          <w:tcPr>
            <w:tcW w:type="dxa" w:w="2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Single-workflow</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Waystar / Change</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Public</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Full RCM platform</w:t>
            </w:r>
          </w:p>
        </w:tc>
        <w:tc>
          <w:tcPr>
            <w:tcW w:type="dxa" w:w="2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Not AI-native, enterprise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EAF1F8" w:val="clear"/>
            <w:tcMar>
              <w:top w:type="dxa" w:w="200"/>
              <w:left w:type="dxa" w:w="240"/>
              <w:bottom w:type="dxa" w:w="200"/>
              <w:right w:type="dxa" w:w="240"/>
            </w:tcMar>
          </w:tcPr>
          <w:p>
            <w:pPr>
              <w:spacing w:after="100"/>
            </w:pPr>
            <w:r>
              <w:rPr>
                <w:b/>
                <w:bCs/>
                <w:color w:val="1F3A5F"/>
                <w:sz w:val="22"/>
                <w:szCs w:val="22"/>
              </w:rPr>
              <w:t xml:space="preserve">Strategic insight</w:t>
            </w:r>
          </w:p>
          <w:p>
            <w:pPr>
              <w:spacing w:line="300"/>
            </w:pPr>
            <w:r>
              <w:rPr>
                <w:sz w:val="22"/>
                <w:szCs w:val="22"/>
              </w:rPr>
              <w:t xml:space="preserve">Three YC companies in the last three batches are attacking adjacent slices of this problem. This validates the space and proves YC is hungry for this exact thesis. You aren't competing against them — you are racing them to be the platform that emerges from the category.</w:t>
            </w:r>
          </w:p>
        </w:tc>
      </w:tr>
    </w:tbl>
    <w:p>
      <w:pPr>
        <w:pStyle w:val="Heading2"/>
        <w:spacing w:after="140" w:before="280"/>
      </w:pPr>
      <w:r>
        <w:rPr>
          <w:b/>
          <w:bCs/>
          <w:color w:val="1F3A5F"/>
          <w:sz w:val="28"/>
          <w:szCs w:val="28"/>
        </w:rPr>
        <w:t xml:space="preserve">Indirect Competitors</w:t>
      </w:r>
    </w:p>
    <w:p>
      <w:pPr>
        <w:pStyle w:val="ListParagraph"/>
        <w:numPr>
          <w:ilvl w:val="0"/>
          <w:numId w:val="2"/>
        </w:numPr>
        <w:spacing w:after="80" w:line="280"/>
      </w:pPr>
      <w:r>
        <w:t xml:space="preserve">Billing companies (R1, Conifer, Ensemble) — slow, expensive, human-only</w:t>
      </w:r>
    </w:p>
    <w:p>
      <w:pPr>
        <w:pStyle w:val="ListParagraph"/>
        <w:numPr>
          <w:ilvl w:val="0"/>
          <w:numId w:val="2"/>
        </w:numPr>
        <w:spacing w:after="80" w:line="280"/>
      </w:pPr>
      <w:r>
        <w:t xml:space="preserve">Generic RCM platforms (Waystar, Availity) — payer-side, not provider-side</w:t>
      </w:r>
    </w:p>
    <w:p>
      <w:pPr>
        <w:pStyle w:val="ListParagraph"/>
        <w:numPr>
          <w:ilvl w:val="0"/>
          <w:numId w:val="2"/>
        </w:numPr>
        <w:spacing w:after="80" w:line="280"/>
      </w:pPr>
      <w:r>
        <w:t xml:space="preserve">Epic / Athena building native — slow, enterprise-only, not focused on independents</w:t>
      </w:r>
    </w:p>
    <w:p>
      <w:r>
        <w:br w:type="page"/>
      </w:r>
    </w:p>
    <w:p>
      <w:pPr>
        <w:pStyle w:val="Heading1"/>
        <w:pBdr>
          <w:bottom w:val="single" w:color="2E75B6" w:sz="8" w:space="4"/>
        </w:pBdr>
        <w:spacing w:after="180" w:before="360"/>
      </w:pPr>
      <w:r>
        <w:rPr>
          <w:b/>
          <w:bCs/>
          <w:color w:val="1F3A5F"/>
          <w:sz w:val="36"/>
          <w:szCs w:val="36"/>
        </w:rPr>
        <w:t xml:space="preserve">8. Defensibility &amp; Moat</w:t>
      </w:r>
    </w:p>
    <w:p>
      <w:pPr>
        <w:spacing w:after="120" w:line="300"/>
      </w:pPr>
      <w:r>
        <w:t xml:space="preserve">Software alone is not defensible. The moat is built from four compounding assets:</w:t>
      </w:r>
    </w:p>
    <w:p>
      <w:pPr>
        <w:pStyle w:val="ListParagraph"/>
        <w:numPr>
          <w:ilvl w:val="0"/>
          <w:numId w:val="3"/>
        </w:numPr>
        <w:spacing w:after="80" w:line="280"/>
      </w:pPr>
      <w:r>
        <w:t xml:space="preserve">Payer-specific knowledge graph — every appeal template, denial code mapping, IVR phone tree, portal automation. Grows with usage; never gets weaker.</w:t>
      </w:r>
    </w:p>
    <w:p>
      <w:pPr>
        <w:pStyle w:val="ListParagraph"/>
        <w:numPr>
          <w:ilvl w:val="0"/>
          <w:numId w:val="3"/>
        </w:numPr>
        <w:spacing w:after="80" w:line="280"/>
      </w:pPr>
      <w:r>
        <w:t xml:space="preserve">Outcome data — which appeal arguments win for which payers for which denial codes. Closed-loop reinforcement from real outcomes you uniquely have.</w:t>
      </w:r>
    </w:p>
    <w:p>
      <w:pPr>
        <w:pStyle w:val="ListParagraph"/>
        <w:numPr>
          <w:ilvl w:val="0"/>
          <w:numId w:val="3"/>
        </w:numPr>
        <w:spacing w:after="80" w:line="280"/>
      </w:pPr>
      <w:r>
        <w:t xml:space="preserve">Customer switching cost — once embedded in PM/EHR and handling six workflows, ripping you out means rebuilding a billing department.</w:t>
      </w:r>
    </w:p>
    <w:p>
      <w:pPr>
        <w:pStyle w:val="ListParagraph"/>
        <w:numPr>
          <w:ilvl w:val="0"/>
          <w:numId w:val="3"/>
        </w:numPr>
        <w:spacing w:after="80" w:line="280"/>
      </w:pPr>
      <w:r>
        <w:t xml:space="preserve">Outcomes-based contracts — competitors selling per-seat SaaS cannot match your pricing without burning their P&amp;L.</w:t>
      </w:r>
    </w:p>
    <w:p>
      <w:pPr>
        <w:pStyle w:val="Heading1"/>
        <w:pBdr>
          <w:bottom w:val="single" w:color="2E75B6" w:sz="8" w:space="4"/>
        </w:pBdr>
        <w:spacing w:after="180" w:before="360"/>
      </w:pPr>
      <w:r>
        <w:rPr>
          <w:b/>
          <w:bCs/>
          <w:color w:val="1F3A5F"/>
          <w:sz w:val="36"/>
          <w:szCs w:val="36"/>
        </w:rPr>
        <w:t xml:space="preserve">9. Risks &amp; How to Kill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Risk</w:t>
            </w:r>
          </w:p>
        </w:tc>
        <w:tc>
          <w:tcPr>
            <w:tcW w:type="dxa" w:w="636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Mitigation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Payers detect and block AI callers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Voice-cloned natural speech, realistic latency, randomized timing, human-supervised fallback. Long-term: push payers to ePA APIs (CMS mandate in motion).</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Hallucinations cite wrong policy</w:t>
            </w:r>
          </w:p>
        </w:tc>
        <w:tc>
          <w:tcPr>
            <w:tcW w:type="dxa" w:w="6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Every appeal cites verifiable sources from chart + payer policy library. Human review gate for first 60 days. Confidence scoring + escalation rules.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Epic/Athena ships native version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Stay on independent practices (smaller EHRs, no Epic). Move faster. Win on outcomes-pricing they cannot match.</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HIPAA breach</w:t>
            </w:r>
          </w:p>
        </w:tc>
        <w:tc>
          <w:tcPr>
            <w:tcW w:type="dxa" w:w="6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SOC 2 from day 1. BAA with every vendor. Encryption at rest and in transit. No PHI in LLM training. Audit logs immutable.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Large customer churn tanks revenue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No customer &gt;15% of ARR until $5M ARR. Diversify across specialties.</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Tennr/Commure outspend you</w:t>
            </w:r>
          </w:p>
        </w:tc>
        <w:tc>
          <w:tcPr>
            <w:tcW w:type="dxa" w:w="6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They're enterprise-focused, slow, and have legacy customers. Independents are wide open.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Founder lacks healthcare domain expertise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Hire a former RCM director as employee #3 or co-founder. Visit 50 practices in first 6 months.</w:t>
            </w:r>
          </w:p>
        </w:tc>
      </w:tr>
    </w:tbl>
    <w:p>
      <w:r>
        <w:br w:type="page"/>
      </w:r>
    </w:p>
    <w:p>
      <w:pPr>
        <w:pStyle w:val="Heading1"/>
        <w:pBdr>
          <w:bottom w:val="single" w:color="2E75B6" w:sz="8" w:space="4"/>
        </w:pBdr>
        <w:spacing w:after="180" w:before="360"/>
      </w:pPr>
      <w:r>
        <w:rPr>
          <w:b/>
          <w:bCs/>
          <w:color w:val="1F3A5F"/>
          <w:sz w:val="36"/>
          <w:szCs w:val="36"/>
        </w:rPr>
        <w:t xml:space="preserve">10. Y Combinator Application Strategy</w:t>
      </w:r>
    </w:p>
    <w:p>
      <w:pPr>
        <w:pStyle w:val="Heading2"/>
        <w:spacing w:after="140" w:before="280"/>
      </w:pPr>
      <w:r>
        <w:rPr>
          <w:b/>
          <w:bCs/>
          <w:color w:val="1F3A5F"/>
          <w:sz w:val="28"/>
          <w:szCs w:val="28"/>
        </w:rPr>
        <w:t xml:space="preserve">What YC Cares About</w:t>
      </w:r>
    </w:p>
    <w:p>
      <w:pPr>
        <w:spacing w:after="120" w:line="300"/>
      </w:pPr>
      <w:r>
        <w:t xml:space="preserve">YC looks for: massive problem, sharp wedge, monomaniacal founders, traction.</w:t>
      </w:r>
    </w:p>
    <w:p>
      <w:pPr>
        <w:pStyle w:val="ListParagraph"/>
        <w:numPr>
          <w:ilvl w:val="0"/>
          <w:numId w:val="2"/>
        </w:numPr>
        <w:spacing w:after="80" w:line="280"/>
      </w:pPr>
      <w:r>
        <w:t xml:space="preserve">RFS-aligned — "Healthcare administration" named in Summer 2026 RFS</w:t>
      </w:r>
    </w:p>
    <w:p>
      <w:pPr>
        <w:pStyle w:val="ListParagraph"/>
        <w:numPr>
          <w:ilvl w:val="0"/>
          <w:numId w:val="2"/>
        </w:numPr>
        <w:spacing w:after="80" w:line="280"/>
      </w:pPr>
      <w:r>
        <w:t xml:space="preserve">Service-replacement — matches Alströmer's thesis exactly</w:t>
      </w:r>
    </w:p>
    <w:p>
      <w:pPr>
        <w:pStyle w:val="ListParagraph"/>
        <w:numPr>
          <w:ilvl w:val="0"/>
          <w:numId w:val="2"/>
        </w:numPr>
        <w:spacing w:after="80" w:line="280"/>
      </w:pPr>
      <w:r>
        <w:t xml:space="preserve">Outcome-based revenue model — hard to misunderstand</w:t>
      </w:r>
    </w:p>
    <w:p>
      <w:pPr>
        <w:pStyle w:val="ListParagraph"/>
        <w:numPr>
          <w:ilvl w:val="0"/>
          <w:numId w:val="2"/>
        </w:numPr>
        <w:spacing w:after="80" w:line="280"/>
      </w:pPr>
      <w:r>
        <w:t xml:space="preserve">Three peer YC companies already validate the space</w:t>
      </w:r>
    </w:p>
    <w:p>
      <w:pPr>
        <w:pStyle w:val="Heading2"/>
        <w:spacing w:after="140" w:before="280"/>
      </w:pPr>
      <w:r>
        <w:rPr>
          <w:b/>
          <w:bCs/>
          <w:color w:val="1F3A5F"/>
          <w:sz w:val="28"/>
          <w:szCs w:val="28"/>
        </w:rPr>
        <w:t xml:space="preserve">What to Build BEFORE Applying</w:t>
      </w:r>
    </w:p>
    <w:p>
      <w:pPr>
        <w:pStyle w:val="ListParagraph"/>
        <w:numPr>
          <w:ilvl w:val="0"/>
          <w:numId w:val="2"/>
        </w:numPr>
        <w:spacing w:after="80" w:line="280"/>
      </w:pPr>
      <w:r>
        <w:t xml:space="preserve">Working product that processes ≥1 real denial end-to-end</w:t>
      </w:r>
    </w:p>
    <w:p>
      <w:pPr>
        <w:pStyle w:val="ListParagraph"/>
        <w:numPr>
          <w:ilvl w:val="0"/>
          <w:numId w:val="2"/>
        </w:numPr>
        <w:spacing w:after="80" w:line="280"/>
      </w:pPr>
      <w:r>
        <w:t xml:space="preserve">Ideally: 1 paying customer or 1 LOI with recovered-dollar proof</w:t>
      </w:r>
    </w:p>
    <w:p>
      <w:pPr>
        <w:pStyle w:val="ListParagraph"/>
        <w:numPr>
          <w:ilvl w:val="0"/>
          <w:numId w:val="2"/>
        </w:numPr>
        <w:spacing w:after="80" w:line="280"/>
      </w:pPr>
      <w:r>
        <w:t xml:space="preserve">If pre-revenue: video demo of agent calling a payer (sandbox) and getting status</w:t>
      </w:r>
    </w:p>
    <w:p>
      <w:pPr>
        <w:pStyle w:val="Heading2"/>
        <w:spacing w:after="140" w:before="280"/>
      </w:pPr>
      <w:r>
        <w:rPr>
          <w:b/>
          <w:bCs/>
          <w:color w:val="1F3A5F"/>
          <w:sz w:val="28"/>
          <w:szCs w:val="28"/>
        </w:rPr>
        <w:t xml:space="preserve">The One-Liner for Your Application</w:t>
      </w:r>
    </w:p>
    <w:p>
      <w:pPr>
        <w:pBdr>
          <w:left w:val="single" w:color="2E75B6" w:sz="24" w:space="12"/>
        </w:pBdr>
        <w:spacing w:after="200" w:before="120"/>
        <w:ind w:left="720"/>
      </w:pPr>
      <w:r>
        <w:rPr>
          <w:i/>
          <w:iCs/>
          <w:color w:val="555555"/>
        </w:rPr>
        <w:t xml:space="preserve">We're the AI back-office for medical practices. Our agents call insurance companies, submit appeals, and chase claims so practices don't have to hire billing teams. We charge a percentage of recovered revenue — practices pay nothing if we don't win.</w:t>
      </w:r>
    </w:p>
    <w:p>
      <w:pPr>
        <w:pStyle w:val="Heading2"/>
        <w:spacing w:after="140" w:before="280"/>
      </w:pPr>
      <w:r>
        <w:rPr>
          <w:b/>
          <w:bCs/>
          <w:color w:val="1F3A5F"/>
          <w:sz w:val="28"/>
          <w:szCs w:val="28"/>
        </w:rPr>
        <w:t xml:space="preserve">Killer Stats</w:t>
      </w:r>
    </w:p>
    <w:p>
      <w:pPr>
        <w:pStyle w:val="ListParagraph"/>
        <w:numPr>
          <w:ilvl w:val="0"/>
          <w:numId w:val="2"/>
        </w:numPr>
        <w:spacing w:after="80" w:line="280"/>
      </w:pPr>
      <w:r>
        <w:t xml:space="preserve">US providers lose $262B/year to denied claims</w:t>
      </w:r>
    </w:p>
    <w:p>
      <w:pPr>
        <w:pStyle w:val="ListParagraph"/>
        <w:numPr>
          <w:ilvl w:val="0"/>
          <w:numId w:val="2"/>
        </w:numPr>
        <w:spacing w:after="80" w:line="280"/>
      </w:pPr>
      <w:r>
        <w:t xml:space="preserve">Average appeal costs $57 of manual labor</w:t>
      </w:r>
    </w:p>
    <w:p>
      <w:pPr>
        <w:pStyle w:val="ListParagraph"/>
        <w:numPr>
          <w:ilvl w:val="0"/>
          <w:numId w:val="2"/>
        </w:numPr>
        <w:spacing w:after="80" w:line="280"/>
      </w:pPr>
      <w:r>
        <w:t xml:space="preserve">Our agent appeals cost &lt;$5 and have higher success rates</w:t>
      </w:r>
    </w:p>
    <w:p>
      <w:pPr>
        <w:pStyle w:val="ListParagraph"/>
        <w:numPr>
          <w:ilvl w:val="0"/>
          <w:numId w:val="2"/>
        </w:numPr>
        <w:spacing w:after="80" w:line="280"/>
      </w:pPr>
      <w:r>
        <w:t xml:space="preserve">[Your traction numbers here]</w:t>
      </w:r>
    </w:p>
    <w:p>
      <w:r>
        <w:br w:type="page"/>
      </w:r>
    </w:p>
    <w:p>
      <w:pPr>
        <w:pStyle w:val="Heading1"/>
        <w:pBdr>
          <w:bottom w:val="single" w:color="2E75B6" w:sz="8" w:space="4"/>
        </w:pBdr>
        <w:spacing w:after="180" w:before="360"/>
      </w:pPr>
      <w:r>
        <w:rPr>
          <w:b/>
          <w:bCs/>
          <w:color w:val="1F3A5F"/>
          <w:sz w:val="36"/>
          <w:szCs w:val="36"/>
        </w:rPr>
        <w:t xml:space="preserve">11. Software Architecture</w:t>
      </w:r>
    </w:p>
    <w:p>
      <w:pPr>
        <w:pStyle w:val="Heading2"/>
        <w:spacing w:after="140" w:before="280"/>
      </w:pPr>
      <w:r>
        <w:rPr>
          <w:b/>
          <w:bCs/>
          <w:color w:val="1F3A5F"/>
          <w:sz w:val="28"/>
          <w:szCs w:val="28"/>
        </w:rPr>
        <w:t xml:space="preserve">11.1 Component Overview</w:t>
      </w:r>
    </w:p>
    <w:p>
      <w:pPr>
        <w:pStyle w:val="ListParagraph"/>
        <w:numPr>
          <w:ilvl w:val="0"/>
          <w:numId w:val="2"/>
        </w:numPr>
        <w:spacing w:after="80" w:line="280"/>
      </w:pPr>
      <w:r>
        <w:t xml:space="preserve">Integration Layer — EHR/PM connectors (Athena, DrChrono, eCW, Kareo), clearinghouse 837/835, FHIR R4</w:t>
      </w:r>
    </w:p>
    <w:p>
      <w:pPr>
        <w:pStyle w:val="ListParagraph"/>
        <w:numPr>
          <w:ilvl w:val="0"/>
          <w:numId w:val="2"/>
        </w:numPr>
        <w:spacing w:after="80" w:line="280"/>
      </w:pPr>
      <w:r>
        <w:t xml:space="preserve">Workflow Orchestrator — Temporal.io for durable long-running workflows, retries, idempotency</w:t>
      </w:r>
    </w:p>
    <w:p>
      <w:pPr>
        <w:pStyle w:val="ListParagraph"/>
        <w:numPr>
          <w:ilvl w:val="0"/>
          <w:numId w:val="2"/>
        </w:numPr>
        <w:spacing w:after="80" w:line="280"/>
      </w:pPr>
      <w:r>
        <w:t xml:space="preserve">Browser Agents — headless Chrome + Playwright/Stagehand, 8 concurrent per worker, 10GB RAM</w:t>
      </w:r>
    </w:p>
    <w:p>
      <w:pPr>
        <w:pStyle w:val="ListParagraph"/>
        <w:numPr>
          <w:ilvl w:val="0"/>
          <w:numId w:val="2"/>
        </w:numPr>
        <w:spacing w:after="80" w:line="280"/>
      </w:pPr>
      <w:r>
        <w:t xml:space="preserve">Voice Agents — Vapi or Retell AI for IVR navigation and rep conversations</w:t>
      </w:r>
    </w:p>
    <w:p>
      <w:pPr>
        <w:pStyle w:val="ListParagraph"/>
        <w:numPr>
          <w:ilvl w:val="0"/>
          <w:numId w:val="2"/>
        </w:numPr>
        <w:spacing w:after="80" w:line="280"/>
      </w:pPr>
      <w:r>
        <w:t xml:space="preserve">LLM Workers — Claude Opus for reasoning/drafting, Haiku for classification</w:t>
      </w:r>
    </w:p>
    <w:p>
      <w:pPr>
        <w:pStyle w:val="ListParagraph"/>
        <w:numPr>
          <w:ilvl w:val="0"/>
          <w:numId w:val="2"/>
        </w:numPr>
        <w:spacing w:after="80" w:line="280"/>
      </w:pPr>
      <w:r>
        <w:t xml:space="preserve">GPU Workers — on-demand OCR for faxed EOBs, scale to zero</w:t>
      </w:r>
    </w:p>
    <w:p>
      <w:pPr>
        <w:pStyle w:val="ListParagraph"/>
        <w:numPr>
          <w:ilvl w:val="0"/>
          <w:numId w:val="2"/>
        </w:numPr>
        <w:spacing w:after="80" w:line="280"/>
      </w:pPr>
      <w:r>
        <w:t xml:space="preserve">Knowledge Graph — payer rules, denial codes, appeal templates, portal URLs, IVR maps, versioned</w:t>
      </w:r>
    </w:p>
    <w:p>
      <w:pPr>
        <w:pStyle w:val="ListParagraph"/>
        <w:numPr>
          <w:ilvl w:val="0"/>
          <w:numId w:val="2"/>
        </w:numPr>
        <w:spacing w:after="80" w:line="280"/>
      </w:pPr>
      <w:r>
        <w:t xml:space="preserve">Human-in-Loop Queue — confidence-scored escalations, critical for first 60 days per customer</w:t>
      </w:r>
    </w:p>
    <w:p>
      <w:pPr>
        <w:pStyle w:val="ListParagraph"/>
        <w:numPr>
          <w:ilvl w:val="0"/>
          <w:numId w:val="2"/>
        </w:numPr>
        <w:spacing w:after="80" w:line="280"/>
      </w:pPr>
      <w:r>
        <w:t xml:space="preserve">Compliance Layer — AES-256 at rest, TLS 1.3 in transit, no PHI in training, immutable audit log, BAA-only vendors</w:t>
      </w:r>
    </w:p>
    <w:p>
      <w:pPr>
        <w:pStyle w:val="Heading2"/>
        <w:spacing w:after="140" w:before="280"/>
      </w:pPr>
      <w:r>
        <w:rPr>
          <w:b/>
          <w:bCs/>
          <w:color w:val="1F3A5F"/>
          <w:sz w:val="28"/>
          <w:szCs w:val="28"/>
        </w:rPr>
        <w:t xml:space="preserve">11.2 Tech Stack (Phase 1,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Layer</w:t>
            </w:r>
          </w:p>
        </w:tc>
        <w:tc>
          <w:tcPr>
            <w:tcW w:type="dxa" w:w="32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Choice</w:t>
            </w:r>
          </w:p>
        </w:tc>
        <w:tc>
          <w:tcPr>
            <w:tcW w:type="dxa" w:w="396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Rationale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Frontend</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Next.js 15 + Tailwind + shadcn/ui</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Fast, AI-friendly, recruitable</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Backend / workflows</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Python 3.12 + FastAPI + Temporal SDK</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LLM ecosystem in Python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DB</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Postgres (Neon, HIPAA tier)</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Standard, durable</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Auth</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Clerk (BAA tier)</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Easy MFA, HIPAA-ready</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LLMs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Anthropic Claude (Opus + Haiku, ZDR)</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BAA + zero retention</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Browser agents</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Stagehand on Browserbase</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LLM-steered Playwright</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Voice agents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Vapi</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Telephony + voice-cloned naturalness</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OCR</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Reducto or LandingAI</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Faxed EOB parsing</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Storage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S3 (BAA, AES-256)</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Required for HIPAA</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Observability</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Sentry + Langfuse (self-hosted)</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LLM tracing without PHI leakage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Hosting</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Vercel (web) + AWS ECS (worker)</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HIPAA-eligible services</w:t>
            </w:r>
          </w:p>
        </w:tc>
      </w:tr>
    </w:tbl>
    <w:p>
      <w:r>
        <w:br w:type="page"/>
      </w:r>
    </w:p>
    <w:p>
      <w:pPr>
        <w:pStyle w:val="Heading1"/>
        <w:pBdr>
          <w:bottom w:val="single" w:color="2E75B6" w:sz="8" w:space="4"/>
        </w:pBdr>
        <w:spacing w:after="180" w:before="360"/>
      </w:pPr>
      <w:r>
        <w:rPr>
          <w:b/>
          <w:bCs/>
          <w:color w:val="1F3A5F"/>
          <w:sz w:val="36"/>
          <w:szCs w:val="36"/>
        </w:rPr>
        <w:t xml:space="preserve">12. Build Plan — Phase 1 MVP (8 Weeks)</w:t>
      </w:r>
    </w:p>
    <w:p>
      <w:pPr>
        <w:pStyle w:val="Heading2"/>
        <w:spacing w:after="140" w:before="280"/>
      </w:pPr>
      <w:r>
        <w:rPr>
          <w:b/>
          <w:bCs/>
          <w:color w:val="1F3A5F"/>
          <w:sz w:val="28"/>
          <w:szCs w:val="28"/>
        </w:rPr>
        <w:t xml:space="preserve">Goal</w:t>
      </w:r>
    </w:p>
    <w:p>
      <w:pPr>
        <w:spacing w:after="120" w:line="300"/>
      </w:pPr>
      <w:r>
        <w:rPr>
          <w:b/>
          <w:bCs/>
        </w:rPr>
        <w:t xml:space="preserve">Process a real denial appeal end-to-end with human approval, for one customer, on one payer's portal.</w:t>
      </w:r>
    </w:p>
    <w:p>
      <w:pPr>
        <w:pStyle w:val="Heading2"/>
        <w:spacing w:after="140" w:before="280"/>
      </w:pPr>
      <w:r>
        <w:rPr>
          <w:b/>
          <w:bCs/>
          <w:color w:val="1F3A5F"/>
          <w:sz w:val="28"/>
          <w:szCs w:val="28"/>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Week</w:t>
            </w:r>
          </w:p>
        </w:tc>
        <w:tc>
          <w:tcPr>
            <w:tcW w:type="dxa" w:w="22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Goal</w:t>
            </w:r>
          </w:p>
        </w:tc>
        <w:tc>
          <w:tcPr>
            <w:tcW w:type="dxa" w:w="636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Deliverable</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Manual run-through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You appeal one denial end-to-end manually. Document every step.</w:t>
            </w:r>
          </w:p>
        </w:tc>
      </w:tr>
      <w:tr>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Repo skeleton</w:t>
            </w:r>
          </w:p>
        </w:tc>
        <w:tc>
          <w:tcPr>
            <w:tcW w:type="dxa" w:w="6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Monorepo, Prisma schema deployed, Clerk auth, hello-world dashboard</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3</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Denial ingestion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CSV upload route, ERA parser, Claim + Denial rows populated</w:t>
            </w:r>
          </w:p>
        </w:tc>
      </w:tr>
      <w:tr>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Policy retrieval</w:t>
            </w:r>
          </w:p>
        </w:tc>
        <w:tc>
          <w:tcPr>
            <w:tcW w:type="dxa" w:w="6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50 BCBS policies loaded, embeddings built, retrieval working</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5</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Appeal drafter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LLM produces draft, deterministic citation verifier in place</w:t>
            </w:r>
          </w:p>
        </w:tc>
      </w:tr>
      <w:tr>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6</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Human review UI</w:t>
            </w:r>
          </w:p>
        </w:tc>
        <w:tc>
          <w:tcPr>
            <w:tcW w:type="dxa" w:w="6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Reviewer can approve/edit/reject drafts; approved drafts saved</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7</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Browser submission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Stagehand bot submits to ONE payer portal; confirmation captured</w:t>
            </w:r>
          </w:p>
        </w:tc>
      </w:tr>
      <w:tr>
        <w:tc>
          <w:tcPr>
            <w:tcW w:type="dxa" w:w="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8</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First customer live</w:t>
            </w:r>
          </w:p>
        </w:tc>
        <w:tc>
          <w:tcPr>
            <w:tcW w:type="dxa" w:w="6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Pilot #1 onboarded; first real appeal submitted by the system</w:t>
            </w:r>
          </w:p>
        </w:tc>
      </w:tr>
    </w:tbl>
    <w:p>
      <w:pPr>
        <w:pStyle w:val="Heading2"/>
        <w:spacing w:after="140" w:before="280"/>
      </w:pPr>
      <w:r>
        <w:rPr>
          <w:b/>
          <w:bCs/>
          <w:color w:val="1F3A5F"/>
          <w:sz w:val="28"/>
          <w:szCs w:val="28"/>
        </w:rPr>
        <w:t xml:space="preserve">Phase 2 (Months 3–6)</w:t>
      </w:r>
    </w:p>
    <w:p>
      <w:pPr>
        <w:pStyle w:val="ListParagraph"/>
        <w:numPr>
          <w:ilvl w:val="0"/>
          <w:numId w:val="2"/>
        </w:numPr>
        <w:spacing w:after="80" w:line="280"/>
      </w:pPr>
      <w:r>
        <w:t xml:space="preserve">Add voice agent (Vapi) for status follow-ups</w:t>
      </w:r>
    </w:p>
    <w:p>
      <w:pPr>
        <w:pStyle w:val="ListParagraph"/>
        <w:numPr>
          <w:ilvl w:val="0"/>
          <w:numId w:val="2"/>
        </w:numPr>
        <w:spacing w:after="80" w:line="280"/>
      </w:pPr>
      <w:r>
        <w:t xml:space="preserve">Add 5 more payers (BCBS regional, UHC, Aetna, Cigna, Humana, Medicare)</w:t>
      </w:r>
    </w:p>
    <w:p>
      <w:pPr>
        <w:pStyle w:val="ListParagraph"/>
        <w:numPr>
          <w:ilvl w:val="0"/>
          <w:numId w:val="2"/>
        </w:numPr>
        <w:spacing w:after="80" w:line="280"/>
      </w:pPr>
      <w:r>
        <w:t xml:space="preserve">Reduce human-approval to 10% spot-check</w:t>
      </w:r>
    </w:p>
    <w:p>
      <w:pPr>
        <w:pStyle w:val="ListParagraph"/>
        <w:numPr>
          <w:ilvl w:val="0"/>
          <w:numId w:val="2"/>
        </w:numPr>
        <w:spacing w:after="80" w:line="280"/>
      </w:pPr>
      <w:r>
        <w:t xml:space="preserve">Onboard customers 2–5</w:t>
      </w:r>
    </w:p>
    <w:p>
      <w:pPr>
        <w:pStyle w:val="ListParagraph"/>
        <w:numPr>
          <w:ilvl w:val="0"/>
          <w:numId w:val="2"/>
        </w:numPr>
        <w:spacing w:after="80" w:line="280"/>
      </w:pPr>
      <w:r>
        <w:t xml:space="preserve">Add Temporal for durable workflows</w:t>
      </w:r>
    </w:p>
    <w:p>
      <w:pPr>
        <w:pStyle w:val="ListParagraph"/>
        <w:numPr>
          <w:ilvl w:val="0"/>
          <w:numId w:val="2"/>
        </w:numPr>
        <w:spacing w:after="80" w:line="280"/>
      </w:pPr>
      <w:r>
        <w:t xml:space="preserve">Begin SOC 2 prep with Vanta or Drata</w:t>
      </w:r>
    </w:p>
    <w:p>
      <w:pPr>
        <w:pStyle w:val="Heading2"/>
        <w:spacing w:after="140" w:before="280"/>
      </w:pPr>
      <w:r>
        <w:rPr>
          <w:b/>
          <w:bCs/>
          <w:color w:val="1F3A5F"/>
          <w:sz w:val="28"/>
          <w:szCs w:val="28"/>
        </w:rPr>
        <w:t xml:space="preserve">Phase 3 (Months 7–12)</w:t>
      </w:r>
    </w:p>
    <w:p>
      <w:pPr>
        <w:pStyle w:val="ListParagraph"/>
        <w:numPr>
          <w:ilvl w:val="0"/>
          <w:numId w:val="2"/>
        </w:numPr>
        <w:spacing w:after="80" w:line="280"/>
      </w:pPr>
      <w:r>
        <w:t xml:space="preserve">Add workflow #2 — status calls</w:t>
      </w:r>
    </w:p>
    <w:p>
      <w:pPr>
        <w:pStyle w:val="ListParagraph"/>
        <w:numPr>
          <w:ilvl w:val="0"/>
          <w:numId w:val="2"/>
        </w:numPr>
        <w:spacing w:after="80" w:line="280"/>
      </w:pPr>
      <w:r>
        <w:t xml:space="preserve">Add workflow #3 — eligibility verification</w:t>
      </w:r>
    </w:p>
    <w:p>
      <w:pPr>
        <w:pStyle w:val="ListParagraph"/>
        <w:numPr>
          <w:ilvl w:val="0"/>
          <w:numId w:val="2"/>
        </w:numPr>
        <w:spacing w:after="80" w:line="280"/>
      </w:pPr>
      <w:r>
        <w:t xml:space="preserve">Cover 20+ payers</w:t>
      </w:r>
    </w:p>
    <w:p>
      <w:pPr>
        <w:pStyle w:val="ListParagraph"/>
        <w:numPr>
          <w:ilvl w:val="0"/>
          <w:numId w:val="2"/>
        </w:numPr>
        <w:spacing w:after="80" w:line="280"/>
      </w:pPr>
      <w:r>
        <w:t xml:space="preserve">Multi-tenant hardening</w:t>
      </w:r>
    </w:p>
    <w:p>
      <w:pPr>
        <w:pStyle w:val="ListParagraph"/>
        <w:numPr>
          <w:ilvl w:val="0"/>
          <w:numId w:val="2"/>
        </w:numPr>
        <w:spacing w:after="80" w:line="280"/>
      </w:pPr>
      <w:r>
        <w:t xml:space="preserve">Hire engineers #2 and #3</w:t>
      </w:r>
    </w:p>
    <w:p>
      <w:pPr>
        <w:pStyle w:val="ListParagraph"/>
        <w:numPr>
          <w:ilvl w:val="0"/>
          <w:numId w:val="2"/>
        </w:numPr>
        <w:spacing w:after="80" w:line="280"/>
      </w:pPr>
      <w:r>
        <w:t xml:space="preserve">SOC 2 Type 1 complete</w:t>
      </w:r>
    </w:p>
    <w:p>
      <w:r>
        <w:br w:type="page"/>
      </w:r>
    </w:p>
    <w:p>
      <w:pPr>
        <w:pStyle w:val="Heading1"/>
        <w:pBdr>
          <w:bottom w:val="single" w:color="2E75B6" w:sz="8" w:space="4"/>
        </w:pBdr>
        <w:spacing w:after="180" w:before="360"/>
      </w:pPr>
      <w:r>
        <w:rPr>
          <w:b/>
          <w:bCs/>
          <w:color w:val="1F3A5F"/>
          <w:sz w:val="36"/>
          <w:szCs w:val="36"/>
        </w:rPr>
        <w:t xml:space="preserve">13. The Agent Loop (Conceptual)</w:t>
      </w:r>
    </w:p>
    <w:p>
      <w:pPr>
        <w:spacing w:after="120" w:line="300"/>
      </w:pPr>
      <w:r>
        <w:t xml:space="preserve">Generic structure for any workflow agent — deterministic state machine with LLM-in-the-loop. NOT recursive autonomous agents.</w:t>
      </w:r>
    </w:p>
    <w:p>
      <w:pPr>
        <w:pStyle w:val="ListParagraph"/>
        <w:numPr>
          <w:ilvl w:val="0"/>
          <w:numId w:val="3"/>
        </w:numPr>
        <w:spacing w:after="80" w:line="280"/>
      </w:pPr>
      <w:r>
        <w:t xml:space="preserve">Fetch context: denial, claim, patient chart excerpts, payer policies</w:t>
      </w:r>
    </w:p>
    <w:p>
      <w:pPr>
        <w:pStyle w:val="ListParagraph"/>
        <w:numPr>
          <w:ilvl w:val="0"/>
          <w:numId w:val="3"/>
        </w:numPr>
        <w:spacing w:after="80" w:line="280"/>
      </w:pPr>
      <w:r>
        <w:t xml:space="preserve">Strategize (LLM) — predict win probability, choose argument category</w:t>
      </w:r>
    </w:p>
    <w:p>
      <w:pPr>
        <w:pStyle w:val="ListParagraph"/>
        <w:numPr>
          <w:ilvl w:val="0"/>
          <w:numId w:val="3"/>
        </w:numPr>
        <w:spacing w:after="80" w:line="280"/>
      </w:pPr>
      <w:r>
        <w:t xml:space="preserve">Skip if win probability &lt; 0.4</w:t>
      </w:r>
    </w:p>
    <w:p>
      <w:pPr>
        <w:pStyle w:val="ListParagraph"/>
        <w:numPr>
          <w:ilvl w:val="0"/>
          <w:numId w:val="3"/>
        </w:numPr>
        <w:spacing w:after="80" w:line="280"/>
      </w:pPr>
      <w:r>
        <w:t xml:space="preserve">Draft appeal (LLM with retrieval)</w:t>
      </w:r>
    </w:p>
    <w:p>
      <w:pPr>
        <w:pStyle w:val="ListParagraph"/>
        <w:numPr>
          <w:ilvl w:val="0"/>
          <w:numId w:val="3"/>
        </w:numPr>
        <w:spacing w:after="80" w:line="280"/>
      </w:pPr>
      <w:r>
        <w:t xml:space="preserve">Verify every citation deterministically against source policies</w:t>
      </w:r>
    </w:p>
    <w:p>
      <w:pPr>
        <w:pStyle w:val="ListParagraph"/>
        <w:numPr>
          <w:ilvl w:val="0"/>
          <w:numId w:val="3"/>
        </w:numPr>
        <w:spacing w:after="80" w:line="280"/>
      </w:pPr>
      <w:r>
        <w:t xml:space="preserve">If invalid citations → redraft with explicit fix instruction</w:t>
      </w:r>
    </w:p>
    <w:p>
      <w:pPr>
        <w:pStyle w:val="ListParagraph"/>
        <w:numPr>
          <w:ilvl w:val="0"/>
          <w:numId w:val="3"/>
        </w:numPr>
        <w:spacing w:after="80" w:line="280"/>
      </w:pPr>
      <w:r>
        <w:t xml:space="preserve">Human review gate (during ramp period per customer)</w:t>
      </w:r>
    </w:p>
    <w:p>
      <w:pPr>
        <w:pStyle w:val="ListParagraph"/>
        <w:numPr>
          <w:ilvl w:val="0"/>
          <w:numId w:val="3"/>
        </w:numPr>
        <w:spacing w:after="80" w:line="280"/>
      </w:pPr>
      <w:r>
        <w:t xml:space="preserve">Submit via portal / fax / ePA API depending on payer</w:t>
      </w:r>
    </w:p>
    <w:p>
      <w:pPr>
        <w:pStyle w:val="ListParagraph"/>
        <w:numPr>
          <w:ilvl w:val="0"/>
          <w:numId w:val="3"/>
        </w:numPr>
        <w:spacing w:after="80" w:line="280"/>
      </w:pPr>
      <w:r>
        <w:t xml:space="preserve">Schedule follow-up status check in 14 days</w:t>
      </w:r>
    </w:p>
    <w:p>
      <w:pPr>
        <w:pStyle w:val="ListParagraph"/>
        <w:numPr>
          <w:ilvl w:val="0"/>
          <w:numId w:val="3"/>
        </w:numPr>
        <w:spacing w:after="80" w:line="280"/>
      </w:pPr>
      <w:r>
        <w:t xml:space="preserve">Record outcome → feeds back into strategy model</w:t>
      </w:r>
    </w:p>
    <w:p>
      <w:pPr>
        <w:pStyle w:val="Heading2"/>
        <w:spacing w:after="140" w:before="280"/>
      </w:pPr>
      <w:r>
        <w:rPr>
          <w:b/>
          <w:bCs/>
          <w:color w:val="1F3A5F"/>
          <w:sz w:val="28"/>
          <w:szCs w:val="28"/>
        </w:rPr>
        <w:t xml:space="preserve">Critical Principles</w:t>
      </w:r>
    </w:p>
    <w:p>
      <w:pPr>
        <w:pStyle w:val="ListParagraph"/>
        <w:numPr>
          <w:ilvl w:val="0"/>
          <w:numId w:val="2"/>
        </w:numPr>
        <w:spacing w:after="80" w:line="280"/>
      </w:pPr>
      <w:r>
        <w:t xml:space="preserve">Deterministic state machine, LLM-in-the-loop — not recursive autonomous agents</w:t>
      </w:r>
    </w:p>
    <w:p>
      <w:pPr>
        <w:pStyle w:val="ListParagraph"/>
        <w:numPr>
          <w:ilvl w:val="0"/>
          <w:numId w:val="2"/>
        </w:numPr>
        <w:spacing w:after="80" w:line="280"/>
      </w:pPr>
      <w:r>
        <w:t xml:space="preserve">Every step is a Temporal activity — retries and durability for free</w:t>
      </w:r>
    </w:p>
    <w:p>
      <w:pPr>
        <w:pStyle w:val="ListParagraph"/>
        <w:numPr>
          <w:ilvl w:val="0"/>
          <w:numId w:val="2"/>
        </w:numPr>
        <w:spacing w:after="80" w:line="280"/>
      </w:pPr>
      <w:r>
        <w:t xml:space="preserve">Confidence scoring + human gate — early customers get reviewed appeals</w:t>
      </w:r>
    </w:p>
    <w:p>
      <w:pPr>
        <w:pStyle w:val="ListParagraph"/>
        <w:numPr>
          <w:ilvl w:val="0"/>
          <w:numId w:val="2"/>
        </w:numPr>
        <w:spacing w:after="80" w:line="280"/>
      </w:pPr>
      <w:r>
        <w:t xml:space="preserve">Citation verification is deterministic, not LLM — kills hallucination risk</w:t>
      </w:r>
    </w:p>
    <w:p>
      <w:pPr>
        <w:pStyle w:val="ListParagraph"/>
        <w:numPr>
          <w:ilvl w:val="0"/>
          <w:numId w:val="2"/>
        </w:numPr>
        <w:spacing w:after="80" w:line="280"/>
      </w:pPr>
      <w:r>
        <w:t xml:space="preserve">Closed-loop learning — outcomes feed back into strategy</w:t>
      </w:r>
    </w:p>
    <w:p>
      <w:r>
        <w:br w:type="page"/>
      </w:r>
    </w:p>
    <w:p>
      <w:pPr>
        <w:pStyle w:val="Heading1"/>
        <w:pBdr>
          <w:bottom w:val="single" w:color="2E75B6" w:sz="8" w:space="4"/>
        </w:pBdr>
        <w:spacing w:after="180" w:before="360"/>
      </w:pPr>
      <w:r>
        <w:rPr>
          <w:b/>
          <w:bCs/>
          <w:color w:val="1F3A5F"/>
          <w:sz w:val="36"/>
          <w:szCs w:val="36"/>
        </w:rPr>
        <w:t xml:space="preserve">14. Compliance, Security, HIPAA</w:t>
      </w:r>
    </w:p>
    <w:p>
      <w:pPr>
        <w:pStyle w:val="Heading2"/>
        <w:spacing w:after="140" w:before="280"/>
      </w:pPr>
      <w:r>
        <w:rPr>
          <w:b/>
          <w:bCs/>
          <w:color w:val="1F3A5F"/>
          <w:sz w:val="28"/>
          <w:szCs w:val="28"/>
        </w:rPr>
        <w:t xml:space="preserve">Non-Negotiables from Day 1</w:t>
      </w:r>
    </w:p>
    <w:p>
      <w:pPr>
        <w:pStyle w:val="ListParagraph"/>
        <w:numPr>
          <w:ilvl w:val="0"/>
          <w:numId w:val="2"/>
        </w:numPr>
        <w:spacing w:after="80" w:line="280"/>
      </w:pPr>
      <w:r>
        <w:t xml:space="preserve">Business Associate Agreement (BAA) with EVERY vendor touching PHI — AWS, Anthropic, Vapi, Temporal Cloud, Clerk. Never use a service without a BAA.</w:t>
      </w:r>
    </w:p>
    <w:p>
      <w:pPr>
        <w:pStyle w:val="ListParagraph"/>
        <w:numPr>
          <w:ilvl w:val="0"/>
          <w:numId w:val="2"/>
        </w:numPr>
        <w:spacing w:after="80" w:line="280"/>
      </w:pPr>
      <w:r>
        <w:t xml:space="preserve">Encrypt PHI at rest (AES-256) and in transit (TLS 1.3)</w:t>
      </w:r>
    </w:p>
    <w:p>
      <w:pPr>
        <w:pStyle w:val="ListParagraph"/>
        <w:numPr>
          <w:ilvl w:val="0"/>
          <w:numId w:val="2"/>
        </w:numPr>
        <w:spacing w:after="80" w:line="280"/>
      </w:pPr>
      <w:r>
        <w:t xml:space="preserve">No PHI in LLM training — use Anthropic's zero-data-retention endpoint</w:t>
      </w:r>
    </w:p>
    <w:p>
      <w:pPr>
        <w:pStyle w:val="ListParagraph"/>
        <w:numPr>
          <w:ilvl w:val="0"/>
          <w:numId w:val="2"/>
        </w:numPr>
        <w:spacing w:after="80" w:line="280"/>
      </w:pPr>
      <w:r>
        <w:t xml:space="preserve">Immutable, append-only audit log for every PHI-touching action</w:t>
      </w:r>
    </w:p>
    <w:p>
      <w:pPr>
        <w:pStyle w:val="ListParagraph"/>
        <w:numPr>
          <w:ilvl w:val="0"/>
          <w:numId w:val="2"/>
        </w:numPr>
        <w:spacing w:after="80" w:line="280"/>
      </w:pPr>
      <w:r>
        <w:t xml:space="preserve">Principle of least privilege — minimum DB access per microservice</w:t>
      </w:r>
    </w:p>
    <w:p>
      <w:pPr>
        <w:pStyle w:val="ListParagraph"/>
        <w:numPr>
          <w:ilvl w:val="0"/>
          <w:numId w:val="2"/>
        </w:numPr>
        <w:spacing w:after="80" w:line="280"/>
      </w:pPr>
      <w:r>
        <w:t xml:space="preserve">MFA mandatory for all employees</w:t>
      </w:r>
    </w:p>
    <w:p>
      <w:pPr>
        <w:pStyle w:val="Heading2"/>
        <w:spacing w:after="140" w:before="280"/>
      </w:pPr>
      <w:r>
        <w:rPr>
          <w:b/>
          <w:bCs/>
          <w:color w:val="1F3A5F"/>
          <w:sz w:val="28"/>
          <w:szCs w:val="28"/>
        </w:rPr>
        <w:t xml:space="preserve">SOC 2 Timeline</w:t>
      </w:r>
    </w:p>
    <w:p>
      <w:pPr>
        <w:pStyle w:val="ListParagraph"/>
        <w:numPr>
          <w:ilvl w:val="0"/>
          <w:numId w:val="2"/>
        </w:numPr>
        <w:spacing w:after="80" w:line="280"/>
      </w:pPr>
      <w:r>
        <w:t xml:space="preserve">Month 6 — start Type 1 prep with Vanta or Drata</w:t>
      </w:r>
    </w:p>
    <w:p>
      <w:pPr>
        <w:pStyle w:val="ListParagraph"/>
        <w:numPr>
          <w:ilvl w:val="0"/>
          <w:numId w:val="2"/>
        </w:numPr>
        <w:spacing w:after="80" w:line="280"/>
      </w:pPr>
      <w:r>
        <w:t xml:space="preserve">Month 9 — Type 1 audit complete</w:t>
      </w:r>
    </w:p>
    <w:p>
      <w:pPr>
        <w:pStyle w:val="ListParagraph"/>
        <w:numPr>
          <w:ilvl w:val="0"/>
          <w:numId w:val="2"/>
        </w:numPr>
        <w:spacing w:after="80" w:line="280"/>
      </w:pPr>
      <w:r>
        <w:t xml:space="preserve">Month 18 — Type 2 audit (needs 6 months of evidence)</w:t>
      </w:r>
    </w:p>
    <w:p>
      <w:pPr>
        <w:pStyle w:val="Heading2"/>
        <w:spacing w:after="140" w:before="280"/>
      </w:pPr>
      <w:r>
        <w:rPr>
          <w:b/>
          <w:bCs/>
          <w:color w:val="1F3A5F"/>
          <w:sz w:val="28"/>
          <w:szCs w:val="28"/>
        </w:rPr>
        <w:t xml:space="preserve">Legal — Hire Healthcare-Specialized Counsel</w:t>
      </w:r>
    </w:p>
    <w:p>
      <w:pPr>
        <w:pStyle w:val="ListParagraph"/>
        <w:numPr>
          <w:ilvl w:val="0"/>
          <w:numId w:val="2"/>
        </w:numPr>
        <w:spacing w:after="80" w:line="280"/>
      </w:pPr>
      <w:r>
        <w:t xml:space="preserve">BAA templates</w:t>
      </w:r>
    </w:p>
    <w:p>
      <w:pPr>
        <w:pStyle w:val="ListParagraph"/>
        <w:numPr>
          <w:ilvl w:val="0"/>
          <w:numId w:val="2"/>
        </w:numPr>
        <w:spacing w:after="80" w:line="280"/>
      </w:pPr>
      <w:r>
        <w:t xml:space="preserve">Customer contracts with outcomes-based pricing</w:t>
      </w:r>
    </w:p>
    <w:p>
      <w:pPr>
        <w:pStyle w:val="ListParagraph"/>
        <w:numPr>
          <w:ilvl w:val="0"/>
          <w:numId w:val="2"/>
        </w:numPr>
        <w:spacing w:after="80" w:line="280"/>
      </w:pPr>
      <w:r>
        <w:t xml:space="preserve">State telemarketing and AI-disclosure compliance (CA, CO require AI caller disclosure)</w:t>
      </w:r>
    </w:p>
    <w:p>
      <w:pPr>
        <w:pStyle w:val="ListParagraph"/>
        <w:numPr>
          <w:ilvl w:val="0"/>
          <w:numId w:val="2"/>
        </w:numPr>
        <w:spacing w:after="80" w:line="280"/>
      </w:pPr>
      <w:r>
        <w:t xml:space="preserve">Payer ToS review for portal automation (gray area)</w:t>
      </w:r>
    </w:p>
    <w:p>
      <w:r>
        <w:br w:type="page"/>
      </w:r>
    </w:p>
    <w:p>
      <w:pPr>
        <w:pStyle w:val="Heading1"/>
        <w:pBdr>
          <w:bottom w:val="single" w:color="2E75B6" w:sz="8" w:space="4"/>
        </w:pBdr>
        <w:spacing w:after="180" w:before="360"/>
      </w:pPr>
      <w:r>
        <w:rPr>
          <w:b/>
          <w:bCs/>
          <w:color w:val="1F3A5F"/>
          <w:sz w:val="36"/>
          <w:szCs w:val="36"/>
        </w:rPr>
        <w:t xml:space="preserve">15. 12-Month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360"/>
      </w:tblGrid>
      <w:tr>
        <w:trPr>
          <w:tblHeader/>
        </w:trPr>
        <w:tc>
          <w:tcPr>
            <w:tcW w:type="dxa" w:w="10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Month</w:t>
            </w:r>
          </w:p>
        </w:tc>
        <w:tc>
          <w:tcPr>
            <w:tcW w:type="dxa" w:w="30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Engineering</w:t>
            </w:r>
          </w:p>
        </w:tc>
        <w:tc>
          <w:tcPr>
            <w:tcW w:type="dxa" w:w="300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GTM</w:t>
            </w:r>
          </w:p>
        </w:tc>
        <w:tc>
          <w:tcPr>
            <w:tcW w:type="dxa" w:w="2360"/>
            <w:tcBorders>
              <w:top w:val="single" w:color="BFBFBF" w:sz="1"/>
              <w:left w:val="single" w:color="BFBFBF" w:sz="1"/>
              <w:bottom w:val="single" w:color="BFBFBF" w:sz="1"/>
              <w:right w:val="single" w:color="BFBFBF" w:sz="1"/>
            </w:tcBorders>
            <w:shd w:fill="1F3A5F" w:val="clear"/>
            <w:tcMar>
              <w:top w:type="dxa" w:w="120"/>
              <w:left w:type="dxa" w:w="140"/>
              <w:bottom w:type="dxa" w:w="120"/>
              <w:right w:type="dxa" w:w="140"/>
            </w:tcMar>
          </w:tcPr>
          <w:p>
            <w:r>
              <w:rPr>
                <w:b/>
                <w:bCs/>
                <w:color w:val="FFFFFF"/>
                <w:sz w:val="22"/>
                <w:szCs w:val="22"/>
              </w:rPr>
              <w:t xml:space="preserve">Funding</w:t>
            </w:r>
          </w:p>
        </w:tc>
      </w:tr>
      <w:tr>
        <w:tc>
          <w:tcPr>
            <w:tcW w:type="dxa" w:w="1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Manual run-through, wireframe</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Build prospect list of 200</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Bootstrap</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MVP — 1 payer, 1 workflow</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First outreach campaign</w:t>
            </w:r>
          </w:p>
        </w:tc>
        <w:tc>
          <w:tcPr>
            <w:tcW w:type="dxa" w:w="2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Bootstrap</w:t>
            </w:r>
          </w:p>
        </w:tc>
      </w:tr>
      <w:tr>
        <w:tc>
          <w:tcPr>
            <w:tcW w:type="dxa" w:w="1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3</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First customer live</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3 pilots signed</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Bootstrap</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4</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5 payers, voice v1</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Convert pilots to paid</w:t>
            </w:r>
          </w:p>
        </w:tc>
        <w:tc>
          <w:tcPr>
            <w:tcW w:type="dxa" w:w="2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Apply to YC</w:t>
            </w:r>
          </w:p>
        </w:tc>
      </w:tr>
      <w:tr>
        <w:tc>
          <w:tcPr>
            <w:tcW w:type="dxa" w:w="1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5</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Customers 2–5 onboarded</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Case studies written</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Pre-seed if needed</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6</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Add status calls</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8 customers</w:t>
            </w:r>
          </w:p>
        </w:tc>
        <w:tc>
          <w:tcPr>
            <w:tcW w:type="dxa" w:w="2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YC interview</w:t>
            </w:r>
          </w:p>
        </w:tc>
      </w:tr>
      <w:tr>
        <w:tc>
          <w:tcPr>
            <w:tcW w:type="dxa" w:w="1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7</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Add eligibility</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12 customers</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YC batch if accepted</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8</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20+ payers</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18 customers</w:t>
            </w:r>
          </w:p>
        </w:tc>
        <w:tc>
          <w:tcPr>
            <w:tcW w:type="dxa" w:w="2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w:t>
            </w:r>
          </w:p>
        </w:tc>
      </w:tr>
      <w:tr>
        <w:tc>
          <w:tcPr>
            <w:tcW w:type="dxa" w:w="1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9</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Multi-tenant hardening</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$1M ARR milestone</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Demo Day prep</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10</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Add prior auth</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25 customers</w:t>
            </w:r>
          </w:p>
        </w:tc>
        <w:tc>
          <w:tcPr>
            <w:tcW w:type="dxa" w:w="2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Demo Day</w:t>
            </w:r>
          </w:p>
        </w:tc>
      </w:tr>
      <w:tr>
        <w:tc>
          <w:tcPr>
            <w:tcW w:type="dxa" w:w="1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11</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Specialty #2 launch</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$2M ARR</w:t>
            </w:r>
          </w:p>
        </w:tc>
        <w:tc>
          <w:tcPr>
            <w:tcW w:type="dxa" w:w="2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Seed round</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12</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Hire eng #4</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$3M ARR, 35+ customers</w:t>
            </w:r>
          </w:p>
        </w:tc>
        <w:tc>
          <w:tcPr>
            <w:tcW w:type="dxa" w:w="2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r>
              <w:rPr>
                <w:sz w:val="20"/>
                <w:szCs w:val="20"/>
              </w:rPr>
              <w:t xml:space="preserve">Series A prep</w:t>
            </w:r>
          </w:p>
        </w:tc>
      </w:tr>
    </w:tbl>
    <w:p>
      <w:r>
        <w:br w:type="page"/>
      </w:r>
    </w:p>
    <w:p>
      <w:pPr>
        <w:pStyle w:val="Heading1"/>
        <w:pBdr>
          <w:bottom w:val="single" w:color="2E75B6" w:sz="8" w:space="4"/>
        </w:pBdr>
        <w:spacing w:after="180" w:before="360"/>
      </w:pPr>
      <w:r>
        <w:rPr>
          <w:b/>
          <w:bCs/>
          <w:color w:val="1F3A5F"/>
          <w:sz w:val="36"/>
          <w:szCs w:val="36"/>
        </w:rPr>
        <w:t xml:space="preserve">16. Honest Caveats</w:t>
      </w:r>
    </w:p>
    <w:p>
      <w:pPr>
        <w:spacing w:after="120" w:line="300"/>
      </w:pPr>
      <w:r>
        <w:t xml:space="preserve">Nobody can guarantee a startup succeeds. Anyone who tells you otherwise is selling you something. What this plan does is line up with the strongest signals available right now: the biggest unsolved pain, the money flow, YC's stated thesis, and a competitive structure where the platform play is still open.</w:t>
      </w:r>
    </w:p>
    <w:p>
      <w:pPr>
        <w:spacing w:after="120" w:line="300"/>
      </w:pPr>
      <w:r>
        <w:t xml:space="preserve">Three things will determine the outcome more than any of the analysis above:</w:t>
      </w:r>
    </w:p>
    <w:p>
      <w:pPr>
        <w:pStyle w:val="ListParagraph"/>
        <w:numPr>
          <w:ilvl w:val="0"/>
          <w:numId w:val="3"/>
        </w:numPr>
        <w:spacing w:after="80" w:line="280"/>
      </w:pPr>
      <w:r>
        <w:t xml:space="preserve">Founder grit — visiting 50 practices in 6 months, surviving the first 12 months of brutal payer-portal whack-a-mole</w:t>
      </w:r>
    </w:p>
    <w:p>
      <w:pPr>
        <w:pStyle w:val="ListParagraph"/>
        <w:numPr>
          <w:ilvl w:val="0"/>
          <w:numId w:val="3"/>
        </w:numPr>
        <w:spacing w:after="80" w:line="280"/>
      </w:pPr>
      <w:r>
        <w:t xml:space="preserve">Domain depth — pairing with someone who has lived inside an RCM team</w:t>
      </w:r>
    </w:p>
    <w:p>
      <w:pPr>
        <w:pStyle w:val="ListParagraph"/>
        <w:numPr>
          <w:ilvl w:val="0"/>
          <w:numId w:val="3"/>
        </w:numPr>
        <w:spacing w:after="80" w:line="280"/>
      </w:pPr>
      <w:r>
        <w:t xml:space="preserve">Speed — three YC-funded competitors are within 12 months of where you'd be starting. Move.</w:t>
      </w:r>
    </w:p>
    <w:p>
      <w:pPr>
        <w:spacing w:after="100"/>
      </w:pPr>
      <w:r>
        <w:t xml:space="preserve"/>
      </w:r>
    </w:p>
    <w:p>
      <w:pPr>
        <w:spacing w:after="100"/>
      </w:pPr>
      <w:r>
        <w:t xml:space="preserve"/>
      </w:r>
    </w:p>
    <w:p>
      <w:pPr>
        <w:jc w:val="center"/>
      </w:pPr>
      <w:r>
        <w:rPr>
          <w:b/>
          <w:bCs/>
          <w:color w:val="1F3A5F"/>
          <w:sz w:val="28"/>
          <w:szCs w:val="28"/>
        </w:rPr>
        <w:t xml:space="preserve">Now go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AI Back-Office for Healthcare ·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Back-Office for Healthcare — Master Plan</dc:title>
  <dc:creator>Master Plan</dc:creator>
  <cp:lastModifiedBy>Un-named</cp:lastModifiedBy>
  <cp:revision>1</cp:revision>
  <dcterms:created xsi:type="dcterms:W3CDTF">2026-05-27T03:06:50.226Z</dcterms:created>
  <dcterms:modified xsi:type="dcterms:W3CDTF">2026-05-27T03:06:50.226Z</dcterms:modified>
</cp:coreProperties>
</file>

<file path=docProps/custom.xml><?xml version="1.0" encoding="utf-8"?>
<Properties xmlns="http://schemas.openxmlformats.org/officeDocument/2006/custom-properties" xmlns:vt="http://schemas.openxmlformats.org/officeDocument/2006/docPropsVTypes"/>
</file>