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Modular Controlled-Substance Prescribing Agreement</w:t>
      </w:r>
    </w:p>
    <w:p>
      <w:pPr>
        <w:spacing w:after="120"/>
        <w:rPr>
          <w:color w:val="555B63"/>
        </w:rPr>
      </w:pPr>
      <w:r>
        <w:rPr>
          <w:color w:val="555B63"/>
        </w:rPr>
        <w:t xml:space="preserve">Clause library v1.0.0 (2026-05-25) · Scope: New York and New Jersey only · Opioids, benzodiazepines and stimulants</w:t>
      </w:r>
    </w:p>
    <w:p>
      <w:pPr>
        <w:pStyle w:val="Heading1"/>
      </w:pPr>
      <w:r>
        <w:t xml:space="preserve">How the agreement is assembled</w:t>
      </w:r>
    </w:p>
    <w:p>
      <w:pPr>
        <w:spacing w:after="120"/>
      </w:pPr>
      <w:r>
        <w:t xml:space="preserve">Every agreement uses the same five sections. 15 of the 36 text blocks appear in every agreement; the rest are included or excluded by the controls the prescriber sets. Bracketed fields such as [MEDICATION] are completed at signing; [MEDICATION CLASS] is filled from the substance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60"/>
        <w:gridCol w:w="4500"/>
      </w:tblGrid>
      <w:tr>
        <w:trPr>
          <w:tblHeader/>
        </w:trPr>
        <w:tc>
          <w:tcPr>
            <w:tcW w:type="dxa" w:w="2000"/>
            <w:tcBorders>
              <w:top w:val="single" w:color="D0CCC2" w:sz="4"/>
              <w:left w:val="single" w:color="D0CCC2" w:sz="4"/>
              <w:bottom w:val="single" w:color="D0CCC2" w:sz="4"/>
              <w:right w:val="single" w:color="D0CCC2" w:sz="4"/>
            </w:tcBorders>
            <w:shd w:fill="EDEAE3" w:color="auto" w:val="clear"/>
            <w:tcMar>
              <w:top w:type="dxa" w:w="60"/>
              <w:left w:type="dxa" w:w="100"/>
              <w:bottom w:type="dxa" w:w="60"/>
              <w:right w:type="dxa" w:w="100"/>
            </w:tcMar>
          </w:tcPr>
          <w:p>
            <w:r>
              <w:rPr>
                <w:b/>
                <w:bCs/>
                <w:sz w:val="19"/>
                <w:szCs w:val="19"/>
              </w:rPr>
              <w:t xml:space="preserve">Control</w:t>
            </w:r>
          </w:p>
        </w:tc>
        <w:tc>
          <w:tcPr>
            <w:tcW w:type="dxa" w:w="2860"/>
            <w:tcBorders>
              <w:top w:val="single" w:color="D0CCC2" w:sz="4"/>
              <w:left w:val="single" w:color="D0CCC2" w:sz="4"/>
              <w:bottom w:val="single" w:color="D0CCC2" w:sz="4"/>
              <w:right w:val="single" w:color="D0CCC2" w:sz="4"/>
            </w:tcBorders>
            <w:shd w:fill="EDEAE3" w:color="auto" w:val="clear"/>
            <w:tcMar>
              <w:top w:type="dxa" w:w="60"/>
              <w:left w:type="dxa" w:w="100"/>
              <w:bottom w:type="dxa" w:w="60"/>
              <w:right w:type="dxa" w:w="100"/>
            </w:tcMar>
          </w:tcPr>
          <w:p>
            <w:r>
              <w:rPr>
                <w:b/>
                <w:bCs/>
                <w:sz w:val="19"/>
                <w:szCs w:val="19"/>
              </w:rPr>
              <w:t xml:space="preserve">Options</w:t>
            </w:r>
          </w:p>
        </w:tc>
        <w:tc>
          <w:tcPr>
            <w:tcW w:type="dxa" w:w="4500"/>
            <w:tcBorders>
              <w:top w:val="single" w:color="D0CCC2" w:sz="4"/>
              <w:left w:val="single" w:color="D0CCC2" w:sz="4"/>
              <w:bottom w:val="single" w:color="D0CCC2" w:sz="4"/>
              <w:right w:val="single" w:color="D0CCC2" w:sz="4"/>
            </w:tcBorders>
            <w:shd w:fill="EDEAE3" w:color="auto" w:val="clear"/>
            <w:tcMar>
              <w:top w:type="dxa" w:w="60"/>
              <w:left w:type="dxa" w:w="100"/>
              <w:bottom w:type="dxa" w:w="60"/>
              <w:right w:type="dxa" w:w="100"/>
            </w:tcMar>
          </w:tcPr>
          <w:p>
            <w:r>
              <w:rPr>
                <w:b/>
                <w:bCs/>
                <w:sz w:val="19"/>
                <w:szCs w:val="19"/>
              </w:rPr>
              <w:t xml:space="preserve">What it changes</w:t>
            </w:r>
          </w:p>
        </w:tc>
      </w:tr>
      <w:tr>
        <w:tc>
          <w:tcPr>
            <w:tcW w:type="dxa" w:w="20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State</w:t>
            </w:r>
          </w:p>
        </w:tc>
        <w:tc>
          <w:tcPr>
            <w:tcW w:type="dxa" w:w="286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New York / New Jersey</w:t>
            </w:r>
          </w:p>
        </w:tc>
        <w:tc>
          <w:tcPr>
            <w:tcW w:type="dxa" w:w="45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Swaps in the correct state PDMP statute — patient consent and provider duty.</w:t>
            </w:r>
          </w:p>
        </w:tc>
      </w:tr>
      <w:tr>
        <w:tc>
          <w:tcPr>
            <w:tcW w:type="dxa" w:w="20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Substance class</w:t>
            </w:r>
          </w:p>
        </w:tc>
        <w:tc>
          <w:tcPr>
            <w:tcW w:type="dxa" w:w="286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Opioid / Benzodiazepine / Stimulant / Multi-class</w:t>
            </w:r>
          </w:p>
        </w:tc>
        <w:tc>
          <w:tcPr>
            <w:tcW w:type="dxa" w:w="45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Fills the medication-class wording throughout and sets the SmartPhrase code; opioid-involving classes feed naloxone logic.</w:t>
            </w:r>
          </w:p>
        </w:tc>
      </w:tr>
      <w:tr>
        <w:tc>
          <w:tcPr>
            <w:tcW w:type="dxa" w:w="20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Indication status</w:t>
            </w:r>
          </w:p>
        </w:tc>
        <w:tc>
          <w:tcPr>
            <w:tcW w:type="dxa" w:w="286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Established / Inherited / presumptive / None — pending assessment</w:t>
            </w:r>
          </w:p>
        </w:tc>
        <w:tc>
          <w:tcPr>
            <w:tcW w:type="dxa" w:w="45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Chooses one of three indication statements, from a documented diagnosis to a bridge supply.</w:t>
            </w:r>
          </w:p>
        </w:tc>
      </w:tr>
      <w:tr>
        <w:tc>
          <w:tcPr>
            <w:tcW w:type="dxa" w:w="20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Risk tier</w:t>
            </w:r>
          </w:p>
        </w:tc>
        <w:tc>
          <w:tcPr>
            <w:tcW w:type="dxa" w:w="286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Standard / Enhanced / High-risk</w:t>
            </w:r>
          </w:p>
        </w:tc>
        <w:tc>
          <w:tcPr>
            <w:tcW w:type="dxa" w:w="45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Auto-suggested from the risk inputs, always confirmable or overridable. Sets drug-screen frequency, pill counts, reassessment cadence, specialist involvement and review date.</w:t>
            </w:r>
          </w:p>
        </w:tc>
      </w:tr>
      <w:tr>
        <w:tc>
          <w:tcPr>
            <w:tcW w:type="dxa" w:w="20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SUD history</w:t>
            </w:r>
          </w:p>
        </w:tc>
        <w:tc>
          <w:tcPr>
            <w:tcW w:type="dxa" w:w="286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None / Past / Active</w:t>
            </w:r>
          </w:p>
        </w:tc>
        <w:tc>
          <w:tcPr>
            <w:tcW w:type="dxa" w:w="45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Past or active SUD adds formulation and SUD-aware language, and raises the suggested tier unless a specialist is involved.</w:t>
            </w:r>
          </w:p>
        </w:tc>
      </w:tr>
      <w:tr>
        <w:tc>
          <w:tcPr>
            <w:tcW w:type="dxa" w:w="20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Opioid + benzodiazepine</w:t>
            </w:r>
          </w:p>
        </w:tc>
        <w:tc>
          <w:tcPr>
            <w:tcW w:type="dxa" w:w="286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Off / On</w:t>
            </w:r>
          </w:p>
        </w:tc>
        <w:tc>
          <w:tcPr>
            <w:tcW w:type="dxa" w:w="45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Adds the combination-risk acknowledgment, forces naloxone on, and suggests High-risk.</w:t>
            </w:r>
          </w:p>
        </w:tc>
      </w:tr>
      <w:tr>
        <w:tc>
          <w:tcPr>
            <w:tcW w:type="dxa" w:w="20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Age ≥ 65</w:t>
            </w:r>
          </w:p>
        </w:tc>
        <w:tc>
          <w:tcPr>
            <w:tcW w:type="dxa" w:w="286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Off / On</w:t>
            </w:r>
          </w:p>
        </w:tc>
        <w:tc>
          <w:tcPr>
            <w:tcW w:type="dxa" w:w="45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Adds Beers-criteria counseling on falls, fractures and cognition; suggests at least Enhanced.</w:t>
            </w:r>
          </w:p>
        </w:tc>
      </w:tr>
      <w:tr>
        <w:tc>
          <w:tcPr>
            <w:tcW w:type="dxa" w:w="20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Driving / safety-sensitive</w:t>
            </w:r>
          </w:p>
        </w:tc>
        <w:tc>
          <w:tcPr>
            <w:tcW w:type="dxa" w:w="286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Off / On</w:t>
            </w:r>
          </w:p>
        </w:tc>
        <w:tc>
          <w:tcPr>
            <w:tcW w:type="dxa" w:w="45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Adds documented counseling on impairment and occupational reporting obligations.</w:t>
            </w:r>
          </w:p>
        </w:tc>
      </w:tr>
      <w:tr>
        <w:tc>
          <w:tcPr>
            <w:tcW w:type="dxa" w:w="20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Naloxone</w:t>
            </w:r>
          </w:p>
        </w:tc>
        <w:tc>
          <w:tcPr>
            <w:tcW w:type="dxa" w:w="286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Not indicated / Offered</w:t>
            </w:r>
          </w:p>
        </w:tc>
        <w:tc>
          <w:tcPr>
            <w:tcW w:type="dxa" w:w="45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Auto-on for opioid + benzo, or an opioid-involving class with a dose or SUD flag. Overridable.</w:t>
            </w:r>
          </w:p>
        </w:tc>
      </w:tr>
      <w:tr>
        <w:tc>
          <w:tcPr>
            <w:tcW w:type="dxa" w:w="20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Other risk inputs</w:t>
            </w:r>
          </w:p>
        </w:tc>
        <w:tc>
          <w:tcPr>
            <w:tcW w:type="dxa" w:w="286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Concurrent CS / Dose ≥ threshold / Early-fill history / Prior lost meds / Specialist involved</w:t>
            </w:r>
          </w:p>
        </w:tc>
        <w:tc>
          <w:tcPr>
            <w:tcW w:type="dxa" w:w="450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Add no text of their own — they drive the risk-tier suggestion, which then drives the tier blocks.</w:t>
            </w:r>
          </w:p>
        </w:tc>
      </w:tr>
    </w:tbl>
    <w:p>
      <w:pPr>
        <w:spacing w:after="120"/>
      </w:pPr>
      <w:r>
        <w:t xml:space="preserve"/>
      </w:r>
    </w:p>
    <w:p>
      <w:pPr>
        <w:pStyle w:val="Heading2"/>
      </w:pPr>
      <w:r>
        <w:t xml:space="preserve">How the risk tier is suggested</w:t>
      </w:r>
    </w:p>
    <w:p>
      <w:pPr>
        <w:spacing w:after="120"/>
      </w:pPr>
      <w:r>
        <w:t xml:space="preserve">High-risk if any of: active SUD without specialist involvement; concurrent opioid + benzodiazepine; cross-class concurrent controlled substances; prior lost-medication report; no indication at a dose at or above threshold.</w:t>
      </w:r>
    </w:p>
    <w:p>
      <w:pPr>
        <w:spacing w:after="120"/>
      </w:pPr>
      <w:r>
        <w:t xml:space="preserve">Otherwise Enhanced if any of: past or active SUD without specialist involvement; early-fill history; dose at or above threshold; age ≥ 65; inherited / presumptive indication; same-class concurrent controlled substance.</w:t>
      </w:r>
    </w:p>
    <w:p>
      <w:pPr>
        <w:spacing w:after="120"/>
      </w:pPr>
      <w:r>
        <w:t xml:space="preserve">Otherwise Standard.</w:t>
      </w:r>
    </w:p>
    <w:p>
      <w:pPr>
        <w:spacing w:after="120"/>
      </w:pPr>
      <w:r>
        <w:t xml:space="preserve">The prescriber confirms or overrides the suggested tier; overrides are flagged. Next review: Standard 12 months, Enhanced 6 months, High-risk 3 months. Naloxone is offered automatically for any opioid + benzodiazepine combination, or for an opioid-involving class (opioid, multi-class) with dose at or above threshold or any SUD history; this is also overridable.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CCC2" w:sz="4"/>
              <w:left w:val="single" w:color="D0CCC2" w:sz="4"/>
              <w:bottom w:val="single" w:color="D0CCC2" w:sz="4"/>
              <w:right w:val="single" w:color="D0CCC2" w:sz="4"/>
            </w:tcBorders>
            <w:shd w:fill="EDEAE3" w:color="auto" w:val="clear"/>
            <w:tcMar>
              <w:top w:type="dxa" w:w="60"/>
              <w:left w:type="dxa" w:w="100"/>
              <w:bottom w:type="dxa" w:w="60"/>
              <w:right w:type="dxa" w:w="100"/>
            </w:tcMar>
          </w:tcPr>
          <w:p>
            <w:r>
              <w:rPr>
                <w:b/>
                <w:bCs/>
                <w:sz w:val="19"/>
                <w:szCs w:val="19"/>
              </w:rPr>
              <w:t xml:space="preserve">Substance class</w:t>
            </w:r>
          </w:p>
        </w:tc>
        <w:tc>
          <w:tcPr>
            <w:tcW w:type="dxa" w:w="2340"/>
            <w:tcBorders>
              <w:top w:val="single" w:color="D0CCC2" w:sz="4"/>
              <w:left w:val="single" w:color="D0CCC2" w:sz="4"/>
              <w:bottom w:val="single" w:color="D0CCC2" w:sz="4"/>
              <w:right w:val="single" w:color="D0CCC2" w:sz="4"/>
            </w:tcBorders>
            <w:shd w:fill="EDEAE3" w:color="auto" w:val="clear"/>
            <w:tcMar>
              <w:top w:type="dxa" w:w="60"/>
              <w:left w:type="dxa" w:w="100"/>
              <w:bottom w:type="dxa" w:w="60"/>
              <w:right w:type="dxa" w:w="100"/>
            </w:tcMar>
          </w:tcPr>
          <w:p>
            <w:r>
              <w:rPr>
                <w:b/>
                <w:bCs/>
                <w:sz w:val="19"/>
                <w:szCs w:val="19"/>
              </w:rPr>
              <w:t xml:space="preserve">[MEDICATION CLASS] becomes</w:t>
            </w:r>
          </w:p>
        </w:tc>
        <w:tc>
          <w:tcPr>
            <w:tcW w:type="dxa" w:w="2340"/>
            <w:tcBorders>
              <w:top w:val="single" w:color="D0CCC2" w:sz="4"/>
              <w:left w:val="single" w:color="D0CCC2" w:sz="4"/>
              <w:bottom w:val="single" w:color="D0CCC2" w:sz="4"/>
              <w:right w:val="single" w:color="D0CCC2" w:sz="4"/>
            </w:tcBorders>
            <w:shd w:fill="EDEAE3" w:color="auto" w:val="clear"/>
            <w:tcMar>
              <w:top w:type="dxa" w:w="60"/>
              <w:left w:type="dxa" w:w="100"/>
              <w:bottom w:type="dxa" w:w="60"/>
              <w:right w:type="dxa" w:w="100"/>
            </w:tcMar>
          </w:tcPr>
          <w:p>
            <w:r>
              <w:rPr>
                <w:b/>
                <w:bCs/>
                <w:sz w:val="19"/>
                <w:szCs w:val="19"/>
              </w:rPr>
              <w:t xml:space="preserve">Code</w:t>
            </w:r>
          </w:p>
        </w:tc>
        <w:tc>
          <w:tcPr>
            <w:tcW w:type="dxa" w:w="2340"/>
            <w:tcBorders>
              <w:top w:val="single" w:color="D0CCC2" w:sz="4"/>
              <w:left w:val="single" w:color="D0CCC2" w:sz="4"/>
              <w:bottom w:val="single" w:color="D0CCC2" w:sz="4"/>
              <w:right w:val="single" w:color="D0CCC2" w:sz="4"/>
            </w:tcBorders>
            <w:shd w:fill="EDEAE3" w:color="auto" w:val="clear"/>
            <w:tcMar>
              <w:top w:type="dxa" w:w="60"/>
              <w:left w:type="dxa" w:w="100"/>
              <w:bottom w:type="dxa" w:w="60"/>
              <w:right w:type="dxa" w:w="100"/>
            </w:tcMar>
          </w:tcPr>
          <w:p>
            <w:r>
              <w:rPr>
                <w:b/>
                <w:bCs/>
                <w:sz w:val="19"/>
                <w:szCs w:val="19"/>
              </w:rPr>
              <w:t xml:space="preserve">SmartPhrase name</w:t>
            </w:r>
          </w:p>
        </w:tc>
      </w:tr>
      <w:tr>
        <w:tc>
          <w:tcPr>
            <w:tcW w:type="dxa" w:w="234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Opioid</w:t>
            </w:r>
          </w:p>
        </w:tc>
        <w:tc>
          <w:tcPr>
            <w:tcW w:type="dxa" w:w="234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“opioid”</w:t>
            </w:r>
          </w:p>
        </w:tc>
        <w:tc>
          <w:tcPr>
            <w:tcW w:type="dxa" w:w="234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OPT</w:t>
            </w:r>
          </w:p>
        </w:tc>
        <w:tc>
          <w:tcPr>
            <w:tcW w:type="dxa" w:w="234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.CSAGREE-OPT-[NY|NJ]-[STD|ENH|HR]</w:t>
            </w:r>
          </w:p>
        </w:tc>
      </w:tr>
      <w:tr>
        <w:tc>
          <w:tcPr>
            <w:tcW w:type="dxa" w:w="234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Benzodiazepine</w:t>
            </w:r>
          </w:p>
        </w:tc>
        <w:tc>
          <w:tcPr>
            <w:tcW w:type="dxa" w:w="234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“benzodiazepine”</w:t>
            </w:r>
          </w:p>
        </w:tc>
        <w:tc>
          <w:tcPr>
            <w:tcW w:type="dxa" w:w="234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BNZ</w:t>
            </w:r>
          </w:p>
        </w:tc>
        <w:tc>
          <w:tcPr>
            <w:tcW w:type="dxa" w:w="234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.CSAGREE-BNZ-[NY|NJ]-[STD|ENH|HR]</w:t>
            </w:r>
          </w:p>
        </w:tc>
      </w:tr>
      <w:tr>
        <w:tc>
          <w:tcPr>
            <w:tcW w:type="dxa" w:w="234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Stimulant</w:t>
            </w:r>
          </w:p>
        </w:tc>
        <w:tc>
          <w:tcPr>
            <w:tcW w:type="dxa" w:w="234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“stimulant”</w:t>
            </w:r>
          </w:p>
        </w:tc>
        <w:tc>
          <w:tcPr>
            <w:tcW w:type="dxa" w:w="234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STM</w:t>
            </w:r>
          </w:p>
        </w:tc>
        <w:tc>
          <w:tcPr>
            <w:tcW w:type="dxa" w:w="234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.CSAGREE-STM-[NY|NJ]-[STD|ENH|HR]</w:t>
            </w:r>
          </w:p>
        </w:tc>
      </w:tr>
      <w:tr>
        <w:tc>
          <w:tcPr>
            <w:tcW w:type="dxa" w:w="234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Multi-class</w:t>
            </w:r>
          </w:p>
        </w:tc>
        <w:tc>
          <w:tcPr>
            <w:tcW w:type="dxa" w:w="234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“controlled substance”</w:t>
            </w:r>
          </w:p>
        </w:tc>
        <w:tc>
          <w:tcPr>
            <w:tcW w:type="dxa" w:w="234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MULTI</w:t>
            </w:r>
          </w:p>
        </w:tc>
        <w:tc>
          <w:tcPr>
            <w:tcW w:type="dxa" w:w="2340"/>
            <w:tcBorders>
              <w:top w:val="single" w:color="D0CCC2" w:sz="4"/>
              <w:left w:val="single" w:color="D0CCC2" w:sz="4"/>
              <w:bottom w:val="single" w:color="D0CCC2" w:sz="4"/>
              <w:right w:val="single" w:color="D0CCC2" w:sz="4"/>
            </w:tcBorders>
            <w:tcMar>
              <w:top w:type="dxa" w:w="60"/>
              <w:left w:type="dxa" w:w="100"/>
              <w:bottom w:type="dxa" w:w="60"/>
              <w:right w:type="dxa" w:w="100"/>
            </w:tcMar>
          </w:tcPr>
          <w:p>
            <w:r>
              <w:rPr>
                <w:sz w:val="19"/>
                <w:szCs w:val="19"/>
              </w:rPr>
              <w:t xml:space="preserve">.CSAGREE-MULTI-[NY|NJ]-[STD|ENH|HR]</w:t>
            </w:r>
          </w:p>
        </w:tc>
      </w:tr>
    </w:tbl>
    <w:p>
      <w:pPr>
        <w:pStyle w:val="Heading1"/>
        <w:keepNext/>
        <w:pageBreakBefore/>
      </w:pPr>
      <w:r>
        <w:t xml:space="preserve">Section 1 — Scope and Parties</w:t>
      </w:r>
    </w:p>
    <w:p>
      <w:pPr>
        <w:spacing w:after="120"/>
        <w:rPr>
          <w:i/>
          <w:iCs/>
        </w:rPr>
      </w:pPr>
      <w:r>
        <w:rPr>
          <w:i/>
          <w:iCs/>
        </w:rPr>
        <w:t xml:space="preserve">Who is agreeing to what, for which medication — and why it is being prescribed. The indication block changes with how well-established the indication is.</w:t>
      </w:r>
    </w:p>
    <w:p>
      <w:pPr>
        <w:pStyle w:val="Heading2"/>
        <w:keepNext/>
      </w:pPr>
      <w:r>
        <w:t xml:space="preserve">Agreement header &amp; clinical-discretion statement</w:t>
      </w:r>
    </w:p>
    <w:p>
      <w:pPr>
        <w:spacing w:after="20"/>
      </w:pPr>
      <w:r>
        <w:rPr>
          <w:b/>
          <w:bCs/>
          <w:color w:val="555B63"/>
          <w:sz w:val="18"/>
          <w:szCs w:val="18"/>
        </w:rPr>
        <w:t xml:space="preserve">Block ID: </w:t>
      </w:r>
      <w:r>
        <w:rPr>
          <w:color w:val="555B63"/>
          <w:sz w:val="18"/>
          <w:szCs w:val="18"/>
        </w:rPr>
        <w:t xml:space="preserve">S1-FIXED-HEADER</w:t>
      </w:r>
    </w:p>
    <w:p>
      <w:pPr>
        <w:spacing w:after="20"/>
      </w:pPr>
      <w:r>
        <w:rPr>
          <w:b/>
          <w:bCs/>
          <w:color w:val="555B63"/>
          <w:sz w:val="18"/>
          <w:szCs w:val="18"/>
        </w:rPr>
        <w:t xml:space="preserve">Inclusion rule: </w:t>
      </w:r>
      <w:r>
        <w:rPr>
          <w:color w:val="555B63"/>
          <w:sz w:val="18"/>
          <w:szCs w:val="18"/>
        </w:rPr>
        <w:t xml:space="preserve">Always included</w:t>
      </w:r>
    </w:p>
    <w:p>
      <w:pPr>
        <w:spacing w:after="20"/>
      </w:pPr>
      <w:r>
        <w:rPr>
          <w:b/>
          <w:bCs/>
          <w:color w:val="555B63"/>
          <w:sz w:val="18"/>
          <w:szCs w:val="18"/>
        </w:rPr>
        <w:t xml:space="preserve">Authority: </w:t>
      </w:r>
      <w:r>
        <w:rPr>
          <w:color w:val="555B63"/>
          <w:sz w:val="18"/>
          <w:szCs w:val="18"/>
        </w:rPr>
        <w:t xml:space="preserve">CDC 2022 Recommendation 5 (establish treatment goals and care plan at inherited-patient first visit); ASAM/ACMT 2025 (pretaper assessment framework)</w:t>
      </w:r>
      <w:r>
        <w:rPr>
          <w:color w:val="1F4E79"/>
          <w:sz w:val="18"/>
          <w:szCs w:val="18"/>
        </w:rPr>
        <w:t xml:space="preserve">  [1, 2]</w:t>
      </w:r>
    </w:p>
    <w:p>
      <w:pPr>
        <w:spacing w:after="20"/>
      </w:pPr>
      <w:r>
        <w:rPr>
          <w:b/>
          <w:bCs/>
          <w:color w:val="555B63"/>
          <w:sz w:val="18"/>
          <w:szCs w:val="18"/>
        </w:rPr>
        <w:t xml:space="preserve">Status: </w:t>
      </w:r>
      <w:r>
        <w:rPr>
          <w:color w:val="555B63"/>
          <w:sz w:val="18"/>
          <w:szCs w:val="18"/>
        </w:rPr>
        <w:t xml:space="preserve">Grounded in statute / guideline</w:t>
      </w:r>
    </w:p>
    <w:p>
      <w:pPr>
        <w:pBdr>
          <w:left w:val="single" w:color="1F4E79" w:sz="18" w:space="8"/>
        </w:pBdr>
        <w:shd w:fill="F5F3EE" w:color="auto" w:val="clear"/>
        <w:spacing w:after="0" w:before="80" w:line="288"/>
        <w:ind w:left="160" w:right="160"/>
      </w:pPr>
      <w:r>
        <w:rPr>
          <w:rFonts w:ascii="Cambria" w:cs="Cambria" w:eastAsia="Cambria" w:hAnsi="Cambria"/>
          <w:sz w:val="21"/>
          <w:szCs w:val="21"/>
        </w:rPr>
        <w:t xml:space="preserve">CONTROLLED SUBSTANCE PRESCRIBING AGREEMENT</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 </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This agreement is entered into between [PROVIDER NAME], [TITLE], of Crystal Run Healthcare, and [PATIENT NAME] (Date of Birth: [DOB]) on [DATE]. This agreement covers the following medication(s): [MEDICATION, DOSE, FREQUENCY].</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 </w:t>
      </w:r>
    </w:p>
    <w:p>
      <w:pPr>
        <w:pBdr>
          <w:left w:val="single" w:color="1F4E79" w:sz="18" w:space="8"/>
        </w:pBdr>
        <w:shd w:fill="F5F3EE" w:color="auto" w:val="clear"/>
        <w:spacing w:after="160" w:before="0" w:line="288"/>
        <w:ind w:left="160" w:right="160"/>
      </w:pPr>
      <w:r>
        <w:rPr>
          <w:rFonts w:ascii="Cambria" w:cs="Cambria" w:eastAsia="Cambria" w:hAnsi="Cambria"/>
          <w:sz w:val="21"/>
          <w:szCs w:val="21"/>
        </w:rPr>
        <w:t xml:space="preserve">This agreement is a clinical document establishing shared expectations for the prescribing relationship. It is advisory in nature; experienced providers retain clinical discretion. Nothing in this agreement limits the provider's ability to exercise independent clinical judgment.</w:t>
      </w:r>
    </w:p>
    <w:p>
      <w:pPr>
        <w:pStyle w:val="Heading2"/>
        <w:keepNext/>
      </w:pPr>
      <w:r>
        <w:t xml:space="preserve">Indication — established</w:t>
      </w:r>
    </w:p>
    <w:p>
      <w:pPr>
        <w:spacing w:after="20"/>
      </w:pPr>
      <w:r>
        <w:rPr>
          <w:b/>
          <w:bCs/>
          <w:color w:val="555B63"/>
          <w:sz w:val="18"/>
          <w:szCs w:val="18"/>
        </w:rPr>
        <w:t xml:space="preserve">Block ID: </w:t>
      </w:r>
      <w:r>
        <w:rPr>
          <w:color w:val="555B63"/>
          <w:sz w:val="18"/>
          <w:szCs w:val="18"/>
        </w:rPr>
        <w:t xml:space="preserve">S1-VAR-INDICATION-ESTABLISHED</w:t>
      </w:r>
    </w:p>
    <w:p>
      <w:pPr>
        <w:spacing w:after="20"/>
      </w:pPr>
      <w:r>
        <w:rPr>
          <w:b/>
          <w:bCs/>
          <w:color w:val="555B63"/>
          <w:sz w:val="18"/>
          <w:szCs w:val="18"/>
        </w:rPr>
        <w:t xml:space="preserve">Inclusion rule: </w:t>
      </w:r>
      <w:r>
        <w:rPr>
          <w:color w:val="555B63"/>
          <w:sz w:val="18"/>
          <w:szCs w:val="18"/>
        </w:rPr>
        <w:t xml:space="preserve">Included when Indication status = established</w:t>
      </w:r>
    </w:p>
    <w:p>
      <w:pPr>
        <w:spacing w:after="20"/>
      </w:pPr>
      <w:r>
        <w:rPr>
          <w:b/>
          <w:bCs/>
          <w:color w:val="555B63"/>
          <w:sz w:val="18"/>
          <w:szCs w:val="18"/>
        </w:rPr>
        <w:t xml:space="preserve">Authority: </w:t>
      </w:r>
      <w:r>
        <w:rPr>
          <w:color w:val="555B63"/>
          <w:sz w:val="18"/>
          <w:szCs w:val="18"/>
        </w:rPr>
        <w:t xml:space="preserve">Standard documentation practice</w:t>
      </w:r>
    </w:p>
    <w:p>
      <w:pPr>
        <w:spacing w:after="20"/>
      </w:pPr>
      <w:r>
        <w:rPr>
          <w:b/>
          <w:bCs/>
          <w:color w:val="555B63"/>
          <w:sz w:val="18"/>
          <w:szCs w:val="18"/>
        </w:rPr>
        <w:t xml:space="preserve">Status: </w:t>
      </w:r>
      <w:r>
        <w:rPr>
          <w:color w:val="555B63"/>
          <w:sz w:val="18"/>
          <w:szCs w:val="18"/>
        </w:rPr>
        <w:t xml:space="preserve">Grounded in statute / guideline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Indication: This agreement covers [MEDICATION] prescribed for the management of [DIAGNOSED CONDITION], documented in the medical record.</w:t>
      </w:r>
    </w:p>
    <w:p>
      <w:pPr>
        <w:pStyle w:val="Heading2"/>
        <w:keepNext/>
      </w:pPr>
      <w:r>
        <w:t xml:space="preserve">Indication — inherited / presumptive</w:t>
      </w:r>
    </w:p>
    <w:p>
      <w:pPr>
        <w:spacing w:after="20"/>
      </w:pPr>
      <w:r>
        <w:rPr>
          <w:b/>
          <w:bCs/>
          <w:color w:val="555B63"/>
          <w:sz w:val="18"/>
          <w:szCs w:val="18"/>
        </w:rPr>
        <w:t xml:space="preserve">Block ID: </w:t>
      </w:r>
      <w:r>
        <w:rPr>
          <w:color w:val="555B63"/>
          <w:sz w:val="18"/>
          <w:szCs w:val="18"/>
        </w:rPr>
        <w:t xml:space="preserve">S1-VAR-INDICATION-INHERITED</w:t>
      </w:r>
    </w:p>
    <w:p>
      <w:pPr>
        <w:spacing w:after="20"/>
      </w:pPr>
      <w:r>
        <w:rPr>
          <w:b/>
          <w:bCs/>
          <w:color w:val="555B63"/>
          <w:sz w:val="18"/>
          <w:szCs w:val="18"/>
        </w:rPr>
        <w:t xml:space="preserve">Inclusion rule: </w:t>
      </w:r>
      <w:r>
        <w:rPr>
          <w:color w:val="555B63"/>
          <w:sz w:val="18"/>
          <w:szCs w:val="18"/>
        </w:rPr>
        <w:t xml:space="preserve">Included when Indication status = inherited-presumptive</w:t>
      </w:r>
    </w:p>
    <w:p>
      <w:pPr>
        <w:spacing w:after="20"/>
      </w:pPr>
      <w:r>
        <w:rPr>
          <w:b/>
          <w:bCs/>
          <w:color w:val="555B63"/>
          <w:sz w:val="18"/>
          <w:szCs w:val="18"/>
        </w:rPr>
        <w:t xml:space="preserve">Authority: </w:t>
      </w:r>
      <w:r>
        <w:rPr>
          <w:color w:val="555B63"/>
          <w:sz w:val="18"/>
          <w:szCs w:val="18"/>
        </w:rPr>
        <w:t xml:space="preserve">CDC 2022 Recommendation 5; ASAM/ACMT 2025 Section on Inherited Patients</w:t>
      </w:r>
      <w:r>
        <w:rPr>
          <w:color w:val="1F4E79"/>
          <w:sz w:val="18"/>
          <w:szCs w:val="18"/>
        </w:rPr>
        <w:t xml:space="preserve">  [1, 2]</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Indication: This agreement covers [MEDICATION] as an inherited prescription. A clinical assessment to formally establish the indication is planned within [N] visits. Continuation at this time is to prevent precipitated withdrawal or abrupt discontinuation harm pending that assessment. This continuation does not constitute endorsement of the prior prescribing provider's clinical decisions.</w:t>
      </w:r>
    </w:p>
    <w:p>
      <w:pPr>
        <w:pStyle w:val="Heading2"/>
        <w:keepNext/>
      </w:pPr>
      <w:r>
        <w:t xml:space="preserve">Indication — none, bridge supply</w:t>
      </w:r>
    </w:p>
    <w:p>
      <w:pPr>
        <w:spacing w:after="20"/>
      </w:pPr>
      <w:r>
        <w:rPr>
          <w:b/>
          <w:bCs/>
          <w:color w:val="555B63"/>
          <w:sz w:val="18"/>
          <w:szCs w:val="18"/>
        </w:rPr>
        <w:t xml:space="preserve">Block ID: </w:t>
      </w:r>
      <w:r>
        <w:rPr>
          <w:color w:val="555B63"/>
          <w:sz w:val="18"/>
          <w:szCs w:val="18"/>
        </w:rPr>
        <w:t xml:space="preserve">S1-VAR-INDICATION-NONE</w:t>
      </w:r>
    </w:p>
    <w:p>
      <w:pPr>
        <w:spacing w:after="20"/>
      </w:pPr>
      <w:r>
        <w:rPr>
          <w:b/>
          <w:bCs/>
          <w:color w:val="555B63"/>
          <w:sz w:val="18"/>
          <w:szCs w:val="18"/>
        </w:rPr>
        <w:t xml:space="preserve">Inclusion rule: </w:t>
      </w:r>
      <w:r>
        <w:rPr>
          <w:color w:val="555B63"/>
          <w:sz w:val="18"/>
          <w:szCs w:val="18"/>
        </w:rPr>
        <w:t xml:space="preserve">Included when Indication status = none-pending-assessment</w:t>
      </w:r>
    </w:p>
    <w:p>
      <w:pPr>
        <w:spacing w:after="20"/>
      </w:pPr>
      <w:r>
        <w:rPr>
          <w:b/>
          <w:bCs/>
          <w:color w:val="555B63"/>
          <w:sz w:val="18"/>
          <w:szCs w:val="18"/>
        </w:rPr>
        <w:t xml:space="preserve">Authority: </w:t>
      </w:r>
      <w:r>
        <w:rPr>
          <w:color w:val="555B63"/>
          <w:sz w:val="18"/>
          <w:szCs w:val="18"/>
        </w:rPr>
        <w:t xml:space="preserve">ASAM/ACMT 2025; institutional risk management</w:t>
      </w:r>
      <w:r>
        <w:rPr>
          <w:color w:val="1F4E79"/>
          <w:sz w:val="18"/>
          <w:szCs w:val="18"/>
        </w:rPr>
        <w:t xml:space="preserve">  [2]</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Indication: No documented clinical indication has been established for [MEDICATION] at this time. This agreement covers a bridge supply only, issued to prevent precipitated withdrawal while a full clinical assessment is completed within [N] visits. Continuation beyond that assessment requires an established indication.</w:t>
      </w:r>
    </w:p>
    <w:p>
      <w:pPr>
        <w:pStyle w:val="Heading1"/>
        <w:keepNext/>
      </w:pPr>
      <w:r>
        <w:t xml:space="preserve">Section 2 — Patient Obligations</w:t>
      </w:r>
    </w:p>
    <w:p>
      <w:pPr>
        <w:spacing w:after="120"/>
        <w:rPr>
          <w:i/>
          <w:iCs/>
        </w:rPr>
      </w:pPr>
      <w:r>
        <w:rPr>
          <w:i/>
          <w:iCs/>
        </w:rPr>
        <w:t xml:space="preserve">What the patient agrees to. Core obligations are identical for everyone; monitoring intensity, PDMP wording, and SUD-aware formulation language are modular.</w:t>
      </w:r>
    </w:p>
    <w:p>
      <w:pPr>
        <w:pStyle w:val="Heading2"/>
        <w:keepNext/>
      </w:pPr>
      <w:r>
        <w:t xml:space="preserve">Single prescriber</w:t>
      </w:r>
    </w:p>
    <w:p>
      <w:pPr>
        <w:spacing w:after="20"/>
      </w:pPr>
      <w:r>
        <w:rPr>
          <w:b/>
          <w:bCs/>
          <w:color w:val="555B63"/>
          <w:sz w:val="18"/>
          <w:szCs w:val="18"/>
        </w:rPr>
        <w:t xml:space="preserve">Block ID: </w:t>
      </w:r>
      <w:r>
        <w:rPr>
          <w:color w:val="555B63"/>
          <w:sz w:val="18"/>
          <w:szCs w:val="18"/>
        </w:rPr>
        <w:t xml:space="preserve">S2-FIXED-SINGLE-PRESCRIBER</w:t>
      </w:r>
    </w:p>
    <w:p>
      <w:pPr>
        <w:spacing w:after="20"/>
      </w:pPr>
      <w:r>
        <w:rPr>
          <w:b/>
          <w:bCs/>
          <w:color w:val="555B63"/>
          <w:sz w:val="18"/>
          <w:szCs w:val="18"/>
        </w:rPr>
        <w:t xml:space="preserve">Inclusion rule: </w:t>
      </w:r>
      <w:r>
        <w:rPr>
          <w:color w:val="555B63"/>
          <w:sz w:val="18"/>
          <w:szCs w:val="18"/>
        </w:rPr>
        <w:t xml:space="preserve">Always included</w:t>
      </w:r>
    </w:p>
    <w:p>
      <w:pPr>
        <w:spacing w:after="20"/>
      </w:pPr>
      <w:r>
        <w:rPr>
          <w:b/>
          <w:bCs/>
          <w:color w:val="555B63"/>
          <w:sz w:val="18"/>
          <w:szCs w:val="18"/>
        </w:rPr>
        <w:t xml:space="preserve">Authority: </w:t>
      </w:r>
      <w:r>
        <w:rPr>
          <w:color w:val="555B63"/>
          <w:sz w:val="18"/>
          <w:szCs w:val="18"/>
        </w:rPr>
        <w:t xml:space="preserve">21 CFR §1306.04 (legitimate medical purpose standard); standard of care convention</w:t>
      </w:r>
      <w:r>
        <w:rPr>
          <w:color w:val="1F4E79"/>
          <w:sz w:val="18"/>
          <w:szCs w:val="18"/>
        </w:rPr>
        <w:t xml:space="preserve">  [17]</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Single prescriber: I agree to obtain [MEDICATION CLASS] prescriptions from a single prescriber — the provider named in this agreement. I will not seek prescriptions for [MEDICATION CLASS] from any other provider without the knowledge and documented coordination of my prescribing provider.</w:t>
      </w:r>
    </w:p>
    <w:p>
      <w:pPr>
        <w:pStyle w:val="Heading2"/>
        <w:keepNext/>
      </w:pPr>
      <w:r>
        <w:t xml:space="preserve">Single pharmacy</w:t>
      </w:r>
    </w:p>
    <w:p>
      <w:pPr>
        <w:spacing w:after="20"/>
      </w:pPr>
      <w:r>
        <w:rPr>
          <w:b/>
          <w:bCs/>
          <w:color w:val="555B63"/>
          <w:sz w:val="18"/>
          <w:szCs w:val="18"/>
        </w:rPr>
        <w:t xml:space="preserve">Block ID: </w:t>
      </w:r>
      <w:r>
        <w:rPr>
          <w:color w:val="555B63"/>
          <w:sz w:val="18"/>
          <w:szCs w:val="18"/>
        </w:rPr>
        <w:t xml:space="preserve">S2-FIXED-SINGLE-PHARMACY</w:t>
      </w:r>
    </w:p>
    <w:p>
      <w:pPr>
        <w:spacing w:after="20"/>
      </w:pPr>
      <w:r>
        <w:rPr>
          <w:b/>
          <w:bCs/>
          <w:color w:val="555B63"/>
          <w:sz w:val="18"/>
          <w:szCs w:val="18"/>
        </w:rPr>
        <w:t xml:space="preserve">Inclusion rule: </w:t>
      </w:r>
      <w:r>
        <w:rPr>
          <w:color w:val="555B63"/>
          <w:sz w:val="18"/>
          <w:szCs w:val="18"/>
        </w:rPr>
        <w:t xml:space="preserve">Always included</w:t>
      </w:r>
    </w:p>
    <w:p>
      <w:pPr>
        <w:spacing w:after="20"/>
      </w:pPr>
      <w:r>
        <w:rPr>
          <w:b/>
          <w:bCs/>
          <w:color w:val="555B63"/>
          <w:sz w:val="18"/>
          <w:szCs w:val="18"/>
        </w:rPr>
        <w:t xml:space="preserve">Authority: </w:t>
      </w:r>
      <w:r>
        <w:rPr>
          <w:color w:val="555B63"/>
          <w:sz w:val="18"/>
          <w:szCs w:val="18"/>
        </w:rPr>
        <w:t xml:space="preserve">Institutional risk management</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Single pharmacy: I agree to fill all prescriptions for [MEDICATION] at a single pharmacy: [PHARMACY NAME AND LOCATION]. I will notify my provider in advance if I need to use a different pharmacy due to supply issues, travel, or insurance requirements, and will document the reason.</w:t>
      </w:r>
    </w:p>
    <w:p>
      <w:pPr>
        <w:pStyle w:val="Heading2"/>
        <w:keepNext/>
      </w:pPr>
      <w:r>
        <w:t xml:space="preserve">Use as prescribed</w:t>
      </w:r>
    </w:p>
    <w:p>
      <w:pPr>
        <w:spacing w:after="20"/>
      </w:pPr>
      <w:r>
        <w:rPr>
          <w:b/>
          <w:bCs/>
          <w:color w:val="555B63"/>
          <w:sz w:val="18"/>
          <w:szCs w:val="18"/>
        </w:rPr>
        <w:t xml:space="preserve">Block ID: </w:t>
      </w:r>
      <w:r>
        <w:rPr>
          <w:color w:val="555B63"/>
          <w:sz w:val="18"/>
          <w:szCs w:val="18"/>
        </w:rPr>
        <w:t xml:space="preserve">S2-FIXED-AS-PRESCRIBED</w:t>
      </w:r>
    </w:p>
    <w:p>
      <w:pPr>
        <w:spacing w:after="20"/>
      </w:pPr>
      <w:r>
        <w:rPr>
          <w:b/>
          <w:bCs/>
          <w:color w:val="555B63"/>
          <w:sz w:val="18"/>
          <w:szCs w:val="18"/>
        </w:rPr>
        <w:t xml:space="preserve">Inclusion rule: </w:t>
      </w:r>
      <w:r>
        <w:rPr>
          <w:color w:val="555B63"/>
          <w:sz w:val="18"/>
          <w:szCs w:val="18"/>
        </w:rPr>
        <w:t xml:space="preserve">Always included</w:t>
      </w:r>
    </w:p>
    <w:p>
      <w:pPr>
        <w:spacing w:after="20"/>
      </w:pPr>
      <w:r>
        <w:rPr>
          <w:b/>
          <w:bCs/>
          <w:color w:val="555B63"/>
          <w:sz w:val="18"/>
          <w:szCs w:val="18"/>
        </w:rPr>
        <w:t xml:space="preserve">Authority: </w:t>
      </w:r>
      <w:r>
        <w:rPr>
          <w:color w:val="555B63"/>
          <w:sz w:val="18"/>
          <w:szCs w:val="18"/>
        </w:rPr>
        <w:t xml:space="preserve">Standard prescribing agreement element; CDC 2022</w:t>
      </w:r>
      <w:r>
        <w:rPr>
          <w:color w:val="1F4E79"/>
          <w:sz w:val="18"/>
          <w:szCs w:val="18"/>
        </w:rPr>
        <w:t xml:space="preserve">  [1]</w:t>
      </w:r>
    </w:p>
    <w:p>
      <w:pPr>
        <w:spacing w:after="20"/>
      </w:pPr>
      <w:r>
        <w:rPr>
          <w:b/>
          <w:bCs/>
          <w:color w:val="555B63"/>
          <w:sz w:val="18"/>
          <w:szCs w:val="18"/>
        </w:rPr>
        <w:t xml:space="preserve">Status: </w:t>
      </w:r>
      <w:r>
        <w:rPr>
          <w:color w:val="555B63"/>
          <w:sz w:val="18"/>
          <w:szCs w:val="18"/>
        </w:rPr>
        <w:t xml:space="preserve">Grounded in statute / guideline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Use as prescribed: I agree to take [MEDICATION] only as prescribed — at the prescribed dose, frequency, and for the prescribed indication. I will not adjust my dose without discussing it with my provider first.</w:t>
      </w:r>
    </w:p>
    <w:p>
      <w:pPr>
        <w:pStyle w:val="Heading2"/>
        <w:keepNext/>
      </w:pPr>
      <w:r>
        <w:t xml:space="preserve">No sharing or transfer</w:t>
      </w:r>
    </w:p>
    <w:p>
      <w:pPr>
        <w:spacing w:after="20"/>
      </w:pPr>
      <w:r>
        <w:rPr>
          <w:b/>
          <w:bCs/>
          <w:color w:val="555B63"/>
          <w:sz w:val="18"/>
          <w:szCs w:val="18"/>
        </w:rPr>
        <w:t xml:space="preserve">Block ID: </w:t>
      </w:r>
      <w:r>
        <w:rPr>
          <w:color w:val="555B63"/>
          <w:sz w:val="18"/>
          <w:szCs w:val="18"/>
        </w:rPr>
        <w:t xml:space="preserve">S2-FIXED-NO-SHARING</w:t>
      </w:r>
    </w:p>
    <w:p>
      <w:pPr>
        <w:spacing w:after="20"/>
      </w:pPr>
      <w:r>
        <w:rPr>
          <w:b/>
          <w:bCs/>
          <w:color w:val="555B63"/>
          <w:sz w:val="18"/>
          <w:szCs w:val="18"/>
        </w:rPr>
        <w:t xml:space="preserve">Inclusion rule: </w:t>
      </w:r>
      <w:r>
        <w:rPr>
          <w:color w:val="555B63"/>
          <w:sz w:val="18"/>
          <w:szCs w:val="18"/>
        </w:rPr>
        <w:t xml:space="preserve">Always included</w:t>
      </w:r>
    </w:p>
    <w:p>
      <w:pPr>
        <w:spacing w:after="20"/>
      </w:pPr>
      <w:r>
        <w:rPr>
          <w:b/>
          <w:bCs/>
          <w:color w:val="555B63"/>
          <w:sz w:val="18"/>
          <w:szCs w:val="18"/>
        </w:rPr>
        <w:t xml:space="preserve">Authority: </w:t>
      </w:r>
      <w:r>
        <w:rPr>
          <w:color w:val="555B63"/>
          <w:sz w:val="18"/>
          <w:szCs w:val="18"/>
        </w:rPr>
        <w:t xml:space="preserve">21 USC §841</w:t>
      </w:r>
      <w:r>
        <w:rPr>
          <w:color w:val="1F4E79"/>
          <w:sz w:val="18"/>
          <w:szCs w:val="18"/>
        </w:rPr>
        <w:t xml:space="preserve">  [19]</w:t>
      </w:r>
    </w:p>
    <w:p>
      <w:pPr>
        <w:spacing w:after="20"/>
      </w:pPr>
      <w:r>
        <w:rPr>
          <w:b/>
          <w:bCs/>
          <w:color w:val="555B63"/>
          <w:sz w:val="18"/>
          <w:szCs w:val="18"/>
        </w:rPr>
        <w:t xml:space="preserve">Status: </w:t>
      </w:r>
      <w:r>
        <w:rPr>
          <w:color w:val="555B63"/>
          <w:sz w:val="18"/>
          <w:szCs w:val="18"/>
        </w:rPr>
        <w:t xml:space="preserve">Grounded in statute / guideline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No sharing or transfer: I understand that sharing, selling, or otherwise transferring my controlled substance prescription to another person is a federal felony under 21 USC §841. I agree not to do so.</w:t>
      </w:r>
    </w:p>
    <w:p>
      <w:pPr>
        <w:pStyle w:val="Heading2"/>
        <w:keepNext/>
      </w:pPr>
      <w:r>
        <w:t xml:space="preserve">Safe storage</w:t>
      </w:r>
    </w:p>
    <w:p>
      <w:pPr>
        <w:spacing w:after="20"/>
      </w:pPr>
      <w:r>
        <w:rPr>
          <w:b/>
          <w:bCs/>
          <w:color w:val="555B63"/>
          <w:sz w:val="18"/>
          <w:szCs w:val="18"/>
        </w:rPr>
        <w:t xml:space="preserve">Block ID: </w:t>
      </w:r>
      <w:r>
        <w:rPr>
          <w:color w:val="555B63"/>
          <w:sz w:val="18"/>
          <w:szCs w:val="18"/>
        </w:rPr>
        <w:t xml:space="preserve">S2-FIXED-SAFE-STORAGE</w:t>
      </w:r>
    </w:p>
    <w:p>
      <w:pPr>
        <w:spacing w:after="20"/>
      </w:pPr>
      <w:r>
        <w:rPr>
          <w:b/>
          <w:bCs/>
          <w:color w:val="555B63"/>
          <w:sz w:val="18"/>
          <w:szCs w:val="18"/>
        </w:rPr>
        <w:t xml:space="preserve">Inclusion rule: </w:t>
      </w:r>
      <w:r>
        <w:rPr>
          <w:color w:val="555B63"/>
          <w:sz w:val="18"/>
          <w:szCs w:val="18"/>
        </w:rPr>
        <w:t xml:space="preserve">Always included</w:t>
      </w:r>
    </w:p>
    <w:p>
      <w:pPr>
        <w:spacing w:after="20"/>
      </w:pPr>
      <w:r>
        <w:rPr>
          <w:b/>
          <w:bCs/>
          <w:color w:val="555B63"/>
          <w:sz w:val="18"/>
          <w:szCs w:val="18"/>
        </w:rPr>
        <w:t xml:space="preserve">Authority: </w:t>
      </w:r>
      <w:r>
        <w:rPr>
          <w:color w:val="555B63"/>
          <w:sz w:val="18"/>
          <w:szCs w:val="18"/>
        </w:rPr>
        <w:t xml:space="preserve">CDC 2022; DEA guidance on safe medication storage</w:t>
      </w:r>
      <w:r>
        <w:rPr>
          <w:color w:val="1F4E79"/>
          <w:sz w:val="18"/>
          <w:szCs w:val="18"/>
        </w:rPr>
        <w:t xml:space="preserve">  [1, 22]</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Safe storage: I agree to store [MEDICATION] in a secure location, out of reach of children and visitors. I understand that proper storage is my responsibility.</w:t>
      </w:r>
    </w:p>
    <w:p>
      <w:pPr>
        <w:pStyle w:val="Heading2"/>
        <w:keepNext/>
      </w:pPr>
      <w:r>
        <w:t xml:space="preserve">Disclosure of other substances</w:t>
      </w:r>
    </w:p>
    <w:p>
      <w:pPr>
        <w:spacing w:after="20"/>
      </w:pPr>
      <w:r>
        <w:rPr>
          <w:b/>
          <w:bCs/>
          <w:color w:val="555B63"/>
          <w:sz w:val="18"/>
          <w:szCs w:val="18"/>
        </w:rPr>
        <w:t xml:space="preserve">Block ID: </w:t>
      </w:r>
      <w:r>
        <w:rPr>
          <w:color w:val="555B63"/>
          <w:sz w:val="18"/>
          <w:szCs w:val="18"/>
        </w:rPr>
        <w:t xml:space="preserve">S2-FIXED-DISCLOSURE</w:t>
      </w:r>
    </w:p>
    <w:p>
      <w:pPr>
        <w:spacing w:after="20"/>
      </w:pPr>
      <w:r>
        <w:rPr>
          <w:b/>
          <w:bCs/>
          <w:color w:val="555B63"/>
          <w:sz w:val="18"/>
          <w:szCs w:val="18"/>
        </w:rPr>
        <w:t xml:space="preserve">Inclusion rule: </w:t>
      </w:r>
      <w:r>
        <w:rPr>
          <w:color w:val="555B63"/>
          <w:sz w:val="18"/>
          <w:szCs w:val="18"/>
        </w:rPr>
        <w:t xml:space="preserve">Always included</w:t>
      </w:r>
    </w:p>
    <w:p>
      <w:pPr>
        <w:spacing w:after="20"/>
      </w:pPr>
      <w:r>
        <w:rPr>
          <w:b/>
          <w:bCs/>
          <w:color w:val="555B63"/>
          <w:sz w:val="18"/>
          <w:szCs w:val="18"/>
        </w:rPr>
        <w:t xml:space="preserve">Authority: </w:t>
      </w:r>
      <w:r>
        <w:rPr>
          <w:color w:val="555B63"/>
          <w:sz w:val="18"/>
          <w:szCs w:val="18"/>
        </w:rPr>
        <w:t xml:space="preserve">Standard safety monitoring practice</w:t>
      </w:r>
    </w:p>
    <w:p>
      <w:pPr>
        <w:spacing w:after="20"/>
      </w:pPr>
      <w:r>
        <w:rPr>
          <w:b/>
          <w:bCs/>
          <w:color w:val="555B63"/>
          <w:sz w:val="18"/>
          <w:szCs w:val="18"/>
        </w:rPr>
        <w:t xml:space="preserve">Status: </w:t>
      </w:r>
      <w:r>
        <w:rPr>
          <w:color w:val="555B63"/>
          <w:sz w:val="18"/>
          <w:szCs w:val="18"/>
        </w:rPr>
        <w:t xml:space="preserve">Grounded in statute / guideline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Disclosure: I agree to inform my provider of all other medications, supplements, and substances I am using, including over-the-counter medications, alcohol, cannabis, and any controlled substances prescribed by other providers.</w:t>
      </w:r>
    </w:p>
    <w:p>
      <w:pPr>
        <w:pStyle w:val="Heading2"/>
        <w:keepNext/>
      </w:pPr>
      <w:r>
        <w:t xml:space="preserve">PDMP consent — New York (I-STOP)</w:t>
      </w:r>
    </w:p>
    <w:p>
      <w:pPr>
        <w:spacing w:after="20"/>
      </w:pPr>
      <w:r>
        <w:rPr>
          <w:b/>
          <w:bCs/>
          <w:color w:val="555B63"/>
          <w:sz w:val="18"/>
          <w:szCs w:val="18"/>
        </w:rPr>
        <w:t xml:space="preserve">Block ID: </w:t>
      </w:r>
      <w:r>
        <w:rPr>
          <w:color w:val="555B63"/>
          <w:sz w:val="18"/>
          <w:szCs w:val="18"/>
        </w:rPr>
        <w:t xml:space="preserve">S2-VAR-PDMP-NY</w:t>
      </w:r>
    </w:p>
    <w:p>
      <w:pPr>
        <w:spacing w:after="20"/>
      </w:pPr>
      <w:r>
        <w:rPr>
          <w:b/>
          <w:bCs/>
          <w:color w:val="555B63"/>
          <w:sz w:val="18"/>
          <w:szCs w:val="18"/>
        </w:rPr>
        <w:t xml:space="preserve">Inclusion rule: </w:t>
      </w:r>
      <w:r>
        <w:rPr>
          <w:color w:val="555B63"/>
          <w:sz w:val="18"/>
          <w:szCs w:val="18"/>
        </w:rPr>
        <w:t xml:space="preserve">Included when State = NY</w:t>
      </w:r>
    </w:p>
    <w:p>
      <w:pPr>
        <w:spacing w:after="20"/>
      </w:pPr>
      <w:r>
        <w:rPr>
          <w:b/>
          <w:bCs/>
          <w:color w:val="555B63"/>
          <w:sz w:val="18"/>
          <w:szCs w:val="18"/>
        </w:rPr>
        <w:t xml:space="preserve">Authority: </w:t>
      </w:r>
      <w:r>
        <w:rPr>
          <w:color w:val="555B63"/>
          <w:sz w:val="18"/>
          <w:szCs w:val="18"/>
        </w:rPr>
        <w:t xml:space="preserve">NY Public Health Law §3343-a</w:t>
      </w:r>
      <w:r>
        <w:rPr>
          <w:color w:val="1F4E79"/>
          <w:sz w:val="18"/>
          <w:szCs w:val="18"/>
        </w:rPr>
        <w:t xml:space="preserve">  [20]</w:t>
      </w:r>
    </w:p>
    <w:p>
      <w:pPr>
        <w:spacing w:after="20"/>
      </w:pPr>
      <w:r>
        <w:rPr>
          <w:b/>
          <w:bCs/>
          <w:color w:val="555B63"/>
          <w:sz w:val="18"/>
          <w:szCs w:val="18"/>
        </w:rPr>
        <w:t xml:space="preserve">Status: </w:t>
      </w:r>
      <w:r>
        <w:rPr>
          <w:color w:val="555B63"/>
          <w:sz w:val="18"/>
          <w:szCs w:val="18"/>
        </w:rPr>
        <w:t xml:space="preserve">Grounded in statute / guideline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Prescription monitoring: I understand that my provider is required by New York Public Health Law §3343-a (I-STOP) to review the New York State Prescription Monitoring Program registry before every prescription of this controlled substance. I consent to this review.</w:t>
      </w:r>
    </w:p>
    <w:p>
      <w:pPr>
        <w:pStyle w:val="Heading2"/>
        <w:keepNext/>
      </w:pPr>
      <w:r>
        <w:t xml:space="preserve">PDMP consent — New Jersey</w:t>
      </w:r>
    </w:p>
    <w:p>
      <w:pPr>
        <w:spacing w:after="20"/>
      </w:pPr>
      <w:r>
        <w:rPr>
          <w:b/>
          <w:bCs/>
          <w:color w:val="555B63"/>
          <w:sz w:val="18"/>
          <w:szCs w:val="18"/>
        </w:rPr>
        <w:t xml:space="preserve">Block ID: </w:t>
      </w:r>
      <w:r>
        <w:rPr>
          <w:color w:val="555B63"/>
          <w:sz w:val="18"/>
          <w:szCs w:val="18"/>
        </w:rPr>
        <w:t xml:space="preserve">S2-VAR-PDMP-NJ</w:t>
      </w:r>
    </w:p>
    <w:p>
      <w:pPr>
        <w:spacing w:after="20"/>
      </w:pPr>
      <w:r>
        <w:rPr>
          <w:b/>
          <w:bCs/>
          <w:color w:val="555B63"/>
          <w:sz w:val="18"/>
          <w:szCs w:val="18"/>
        </w:rPr>
        <w:t xml:space="preserve">Inclusion rule: </w:t>
      </w:r>
      <w:r>
        <w:rPr>
          <w:color w:val="555B63"/>
          <w:sz w:val="18"/>
          <w:szCs w:val="18"/>
        </w:rPr>
        <w:t xml:space="preserve">Included when State = NJ</w:t>
      </w:r>
    </w:p>
    <w:p>
      <w:pPr>
        <w:spacing w:after="20"/>
      </w:pPr>
      <w:r>
        <w:rPr>
          <w:b/>
          <w:bCs/>
          <w:color w:val="555B63"/>
          <w:sz w:val="18"/>
          <w:szCs w:val="18"/>
        </w:rPr>
        <w:t xml:space="preserve">Authority: </w:t>
      </w:r>
      <w:r>
        <w:rPr>
          <w:color w:val="555B63"/>
          <w:sz w:val="18"/>
          <w:szCs w:val="18"/>
        </w:rPr>
        <w:t xml:space="preserve">NJSA 45:1-46.1 (P.L.2017 c.341)</w:t>
      </w:r>
      <w:r>
        <w:rPr>
          <w:color w:val="1F4E79"/>
          <w:sz w:val="18"/>
          <w:szCs w:val="18"/>
        </w:rPr>
        <w:t xml:space="preserve">  [21]</w:t>
      </w:r>
    </w:p>
    <w:p>
      <w:pPr>
        <w:spacing w:after="20"/>
      </w:pPr>
      <w:r>
        <w:rPr>
          <w:b/>
          <w:bCs/>
          <w:color w:val="555B63"/>
          <w:sz w:val="18"/>
          <w:szCs w:val="18"/>
        </w:rPr>
        <w:t xml:space="preserve">Status: </w:t>
      </w:r>
      <w:r>
        <w:rPr>
          <w:color w:val="555B63"/>
          <w:sz w:val="18"/>
          <w:szCs w:val="18"/>
        </w:rPr>
        <w:t xml:space="preserve">Grounded in statute / guideline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Prescription monitoring: I understand that my provider is required by NJSA 45:1-46.1 to review the New Jersey Prescription Monitoring Program at my first visit and quarterly during ongoing therapy. I consent to this review.</w:t>
      </w:r>
    </w:p>
    <w:p>
      <w:pPr>
        <w:pStyle w:val="Heading2"/>
        <w:keepNext/>
      </w:pPr>
      <w:r>
        <w:t xml:space="preserve">Drug screening — every 6–12 months</w:t>
      </w:r>
    </w:p>
    <w:p>
      <w:pPr>
        <w:spacing w:after="20"/>
      </w:pPr>
      <w:r>
        <w:rPr>
          <w:b/>
          <w:bCs/>
          <w:color w:val="555B63"/>
          <w:sz w:val="18"/>
          <w:szCs w:val="18"/>
        </w:rPr>
        <w:t xml:space="preserve">Block ID: </w:t>
      </w:r>
      <w:r>
        <w:rPr>
          <w:color w:val="555B63"/>
          <w:sz w:val="18"/>
          <w:szCs w:val="18"/>
        </w:rPr>
        <w:t xml:space="preserve">S2-VAR-UDS-STANDARD</w:t>
      </w:r>
    </w:p>
    <w:p>
      <w:pPr>
        <w:spacing w:after="20"/>
      </w:pPr>
      <w:r>
        <w:rPr>
          <w:b/>
          <w:bCs/>
          <w:color w:val="555B63"/>
          <w:sz w:val="18"/>
          <w:szCs w:val="18"/>
        </w:rPr>
        <w:t xml:space="preserve">Inclusion rule: </w:t>
      </w:r>
      <w:r>
        <w:rPr>
          <w:color w:val="555B63"/>
          <w:sz w:val="18"/>
          <w:szCs w:val="18"/>
        </w:rPr>
        <w:t xml:space="preserve">Included when Risk tier = standard</w:t>
      </w:r>
    </w:p>
    <w:p>
      <w:pPr>
        <w:spacing w:after="20"/>
      </w:pPr>
      <w:r>
        <w:rPr>
          <w:b/>
          <w:bCs/>
          <w:color w:val="555B63"/>
          <w:sz w:val="18"/>
          <w:szCs w:val="18"/>
        </w:rPr>
        <w:t xml:space="preserve">Authority: </w:t>
      </w:r>
      <w:r>
        <w:rPr>
          <w:color w:val="555B63"/>
          <w:sz w:val="18"/>
          <w:szCs w:val="18"/>
        </w:rPr>
        <w:t xml:space="preserve">AAPM/APS expert consensus; CDC 2022 (at least annually)</w:t>
      </w:r>
      <w:r>
        <w:rPr>
          <w:color w:val="1F4E79"/>
          <w:sz w:val="18"/>
          <w:szCs w:val="18"/>
        </w:rPr>
        <w:t xml:space="preserve">  [1, 4]</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Drug screening: I agree to provide urine samples for drug screening when requested by my provider, at a frequency of approximately every 6–12 months or as clinically indicated. I understand that the purpose of this screening is to support safe prescribing, not to punish me.</w:t>
      </w:r>
    </w:p>
    <w:p>
      <w:pPr>
        <w:pStyle w:val="Heading2"/>
        <w:keepNext/>
      </w:pPr>
      <w:r>
        <w:t xml:space="preserve">Drug screening — about every 3 months</w:t>
      </w:r>
    </w:p>
    <w:p>
      <w:pPr>
        <w:spacing w:after="20"/>
      </w:pPr>
      <w:r>
        <w:rPr>
          <w:b/>
          <w:bCs/>
          <w:color w:val="555B63"/>
          <w:sz w:val="18"/>
          <w:szCs w:val="18"/>
        </w:rPr>
        <w:t xml:space="preserve">Block ID: </w:t>
      </w:r>
      <w:r>
        <w:rPr>
          <w:color w:val="555B63"/>
          <w:sz w:val="18"/>
          <w:szCs w:val="18"/>
        </w:rPr>
        <w:t xml:space="preserve">S2-VAR-UDS-ENHANCED</w:t>
      </w:r>
    </w:p>
    <w:p>
      <w:pPr>
        <w:spacing w:after="20"/>
      </w:pPr>
      <w:r>
        <w:rPr>
          <w:b/>
          <w:bCs/>
          <w:color w:val="555B63"/>
          <w:sz w:val="18"/>
          <w:szCs w:val="18"/>
        </w:rPr>
        <w:t xml:space="preserve">Inclusion rule: </w:t>
      </w:r>
      <w:r>
        <w:rPr>
          <w:color w:val="555B63"/>
          <w:sz w:val="18"/>
          <w:szCs w:val="18"/>
        </w:rPr>
        <w:t xml:space="preserve">Included when Risk tier = enhanced</w:t>
      </w:r>
    </w:p>
    <w:p>
      <w:pPr>
        <w:spacing w:after="20"/>
      </w:pPr>
      <w:r>
        <w:rPr>
          <w:b/>
          <w:bCs/>
          <w:color w:val="555B63"/>
          <w:sz w:val="18"/>
          <w:szCs w:val="18"/>
        </w:rPr>
        <w:t xml:space="preserve">Authority: </w:t>
      </w:r>
      <w:r>
        <w:rPr>
          <w:color w:val="555B63"/>
          <w:sz w:val="18"/>
          <w:szCs w:val="18"/>
        </w:rPr>
        <w:t xml:space="preserve">AAPM/APS expert consensus (1–3 times/year for moderate risk)</w:t>
      </w:r>
      <w:r>
        <w:rPr>
          <w:color w:val="1F4E79"/>
          <w:sz w:val="18"/>
          <w:szCs w:val="18"/>
        </w:rPr>
        <w:t xml:space="preserve">  [4]</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Drug screening: I agree to provide urine samples for drug screening when requested by my provider, at a frequency of approximately every 3 months or as clinically indicated. I understand that the purpose of this screening is to support safe prescribing, not to punish me.</w:t>
      </w:r>
    </w:p>
    <w:p>
      <w:pPr>
        <w:pStyle w:val="Heading2"/>
        <w:keepNext/>
      </w:pPr>
      <w:r>
        <w:t xml:space="preserve">Drug screening — every visit</w:t>
      </w:r>
    </w:p>
    <w:p>
      <w:pPr>
        <w:spacing w:after="20"/>
      </w:pPr>
      <w:r>
        <w:rPr>
          <w:b/>
          <w:bCs/>
          <w:color w:val="555B63"/>
          <w:sz w:val="18"/>
          <w:szCs w:val="18"/>
        </w:rPr>
        <w:t xml:space="preserve">Block ID: </w:t>
      </w:r>
      <w:r>
        <w:rPr>
          <w:color w:val="555B63"/>
          <w:sz w:val="18"/>
          <w:szCs w:val="18"/>
        </w:rPr>
        <w:t xml:space="preserve">S2-VAR-UDS-HIGHRISK</w:t>
      </w:r>
    </w:p>
    <w:p>
      <w:pPr>
        <w:spacing w:after="20"/>
      </w:pPr>
      <w:r>
        <w:rPr>
          <w:b/>
          <w:bCs/>
          <w:color w:val="555B63"/>
          <w:sz w:val="18"/>
          <w:szCs w:val="18"/>
        </w:rPr>
        <w:t xml:space="preserve">Inclusion rule: </w:t>
      </w:r>
      <w:r>
        <w:rPr>
          <w:color w:val="555B63"/>
          <w:sz w:val="18"/>
          <w:szCs w:val="18"/>
        </w:rPr>
        <w:t xml:space="preserve">Included when Risk tier = high-risk</w:t>
      </w:r>
    </w:p>
    <w:p>
      <w:pPr>
        <w:spacing w:after="20"/>
      </w:pPr>
      <w:r>
        <w:rPr>
          <w:b/>
          <w:bCs/>
          <w:color w:val="555B63"/>
          <w:sz w:val="18"/>
          <w:szCs w:val="18"/>
        </w:rPr>
        <w:t xml:space="preserve">Authority: </w:t>
      </w:r>
      <w:r>
        <w:rPr>
          <w:color w:val="555B63"/>
          <w:sz w:val="18"/>
          <w:szCs w:val="18"/>
        </w:rPr>
        <w:t xml:space="preserve">AAPM/APS expert consensus; institutional high-risk monitoring standard</w:t>
      </w:r>
      <w:r>
        <w:rPr>
          <w:color w:val="1F4E79"/>
          <w:sz w:val="18"/>
          <w:szCs w:val="18"/>
        </w:rPr>
        <w:t xml:space="preserve">  [4]</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Drug screening: I agree to provide urine samples for drug screening at every visit or as requested by my provider. I understand that the purpose of this screening is to support safe prescribing and my safety, not to punish me.</w:t>
      </w:r>
    </w:p>
    <w:p>
      <w:pPr>
        <w:pStyle w:val="Heading2"/>
        <w:keepNext/>
      </w:pPr>
      <w:r>
        <w:t xml:space="preserve">Refill timing</w:t>
      </w:r>
    </w:p>
    <w:p>
      <w:pPr>
        <w:spacing w:after="20"/>
      </w:pPr>
      <w:r>
        <w:rPr>
          <w:b/>
          <w:bCs/>
          <w:color w:val="555B63"/>
          <w:sz w:val="18"/>
          <w:szCs w:val="18"/>
        </w:rPr>
        <w:t xml:space="preserve">Block ID: </w:t>
      </w:r>
      <w:r>
        <w:rPr>
          <w:color w:val="555B63"/>
          <w:sz w:val="18"/>
          <w:szCs w:val="18"/>
        </w:rPr>
        <w:t xml:space="preserve">S2-VAR-NO-EARLY-REFILLS</w:t>
      </w:r>
    </w:p>
    <w:p>
      <w:pPr>
        <w:spacing w:after="20"/>
      </w:pPr>
      <w:r>
        <w:rPr>
          <w:b/>
          <w:bCs/>
          <w:color w:val="555B63"/>
          <w:sz w:val="18"/>
          <w:szCs w:val="18"/>
        </w:rPr>
        <w:t xml:space="preserve">Inclusion rule: </w:t>
      </w:r>
      <w:r>
        <w:rPr>
          <w:color w:val="555B63"/>
          <w:sz w:val="18"/>
          <w:szCs w:val="18"/>
        </w:rPr>
        <w:t xml:space="preserve">Always included</w:t>
      </w:r>
    </w:p>
    <w:p>
      <w:pPr>
        <w:spacing w:after="20"/>
      </w:pPr>
      <w:r>
        <w:rPr>
          <w:b/>
          <w:bCs/>
          <w:color w:val="555B63"/>
          <w:sz w:val="18"/>
          <w:szCs w:val="18"/>
        </w:rPr>
        <w:t xml:space="preserve">Authority: </w:t>
      </w:r>
      <w:r>
        <w:rPr>
          <w:color w:val="555B63"/>
          <w:sz w:val="18"/>
          <w:szCs w:val="18"/>
        </w:rPr>
        <w:t xml:space="preserve">21 CFR §1306.12; CDC 2022</w:t>
      </w:r>
      <w:r>
        <w:rPr>
          <w:color w:val="1F4E79"/>
          <w:sz w:val="18"/>
          <w:szCs w:val="18"/>
        </w:rPr>
        <w:t xml:space="preserve">  [1, 18]</w:t>
      </w:r>
    </w:p>
    <w:p>
      <w:pPr>
        <w:spacing w:after="20"/>
      </w:pPr>
      <w:r>
        <w:rPr>
          <w:b/>
          <w:bCs/>
          <w:color w:val="555B63"/>
          <w:sz w:val="18"/>
          <w:szCs w:val="18"/>
        </w:rPr>
        <w:t xml:space="preserve">Status: </w:t>
      </w:r>
      <w:r>
        <w:rPr>
          <w:color w:val="555B63"/>
          <w:sz w:val="18"/>
          <w:szCs w:val="18"/>
        </w:rPr>
        <w:t xml:space="preserve">Grounded in statute / guideline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Refill timing: I understand that my medication will be prescribed on a set schedule. I agree not to request early refills except in advance for documented travel or documented supply-chain issues. I understand that federal law (21 CFR §1306.12) permits multiple sequential prescriptions with earliest fill dates for up to 90 days of supply when clinically appropriate.</w:t>
      </w:r>
    </w:p>
    <w:p>
      <w:pPr>
        <w:pStyle w:val="Heading2"/>
        <w:keepNext/>
      </w:pPr>
      <w:r>
        <w:t xml:space="preserve">Lost or stolen medication</w:t>
      </w:r>
    </w:p>
    <w:p>
      <w:pPr>
        <w:spacing w:after="20"/>
      </w:pPr>
      <w:r>
        <w:rPr>
          <w:b/>
          <w:bCs/>
          <w:color w:val="555B63"/>
          <w:sz w:val="18"/>
          <w:szCs w:val="18"/>
        </w:rPr>
        <w:t xml:space="preserve">Block ID: </w:t>
      </w:r>
      <w:r>
        <w:rPr>
          <w:color w:val="555B63"/>
          <w:sz w:val="18"/>
          <w:szCs w:val="18"/>
        </w:rPr>
        <w:t xml:space="preserve">S2-VAR-NO-REPLACEMENT</w:t>
      </w:r>
    </w:p>
    <w:p>
      <w:pPr>
        <w:spacing w:after="20"/>
      </w:pPr>
      <w:r>
        <w:rPr>
          <w:b/>
          <w:bCs/>
          <w:color w:val="555B63"/>
          <w:sz w:val="18"/>
          <w:szCs w:val="18"/>
        </w:rPr>
        <w:t xml:space="preserve">Inclusion rule: </w:t>
      </w:r>
      <w:r>
        <w:rPr>
          <w:color w:val="555B63"/>
          <w:sz w:val="18"/>
          <w:szCs w:val="18"/>
        </w:rPr>
        <w:t xml:space="preserve">Always included</w:t>
      </w:r>
    </w:p>
    <w:p>
      <w:pPr>
        <w:spacing w:after="20"/>
      </w:pPr>
      <w:r>
        <w:rPr>
          <w:b/>
          <w:bCs/>
          <w:color w:val="555B63"/>
          <w:sz w:val="18"/>
          <w:szCs w:val="18"/>
        </w:rPr>
        <w:t xml:space="preserve">Authority: </w:t>
      </w:r>
      <w:r>
        <w:rPr>
          <w:color w:val="555B63"/>
          <w:sz w:val="18"/>
          <w:szCs w:val="18"/>
        </w:rPr>
        <w:t xml:space="preserve">21 CFR §1306.04; ACOEM Opioid Treatment Contract template; institutional policy</w:t>
      </w:r>
      <w:r>
        <w:rPr>
          <w:color w:val="1F4E79"/>
          <w:sz w:val="18"/>
          <w:szCs w:val="18"/>
        </w:rPr>
        <w:t xml:space="preserve">  [16, 17]</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Lost or stolen medication: I understand that Crystal Run Healthcare's policy is not to replace lost or stolen controlled substance prescriptions. I understand that this is an institutional policy; federal law does not categorically prohibit replacement. If my medication is lost or stolen, I agree to report the loss to my provider and, if stolen, to file a police report.</w:t>
      </w:r>
    </w:p>
    <w:p>
      <w:pPr>
        <w:pStyle w:val="Heading2"/>
        <w:keepNext/>
      </w:pPr>
      <w:r>
        <w:t xml:space="preserve">Extended-release / prodrug formulation</w:t>
      </w:r>
    </w:p>
    <w:p>
      <w:pPr>
        <w:spacing w:after="20"/>
      </w:pPr>
      <w:r>
        <w:rPr>
          <w:b/>
          <w:bCs/>
          <w:color w:val="555B63"/>
          <w:sz w:val="18"/>
          <w:szCs w:val="18"/>
        </w:rPr>
        <w:t xml:space="preserve">Block ID: </w:t>
      </w:r>
      <w:r>
        <w:rPr>
          <w:color w:val="555B63"/>
          <w:sz w:val="18"/>
          <w:szCs w:val="18"/>
        </w:rPr>
        <w:t xml:space="preserve">S2-VAR-ER-FORMULATION</w:t>
      </w:r>
    </w:p>
    <w:p>
      <w:pPr>
        <w:spacing w:after="20"/>
      </w:pPr>
      <w:r>
        <w:rPr>
          <w:b/>
          <w:bCs/>
          <w:color w:val="555B63"/>
          <w:sz w:val="18"/>
          <w:szCs w:val="18"/>
        </w:rPr>
        <w:t xml:space="preserve">Inclusion rule: </w:t>
      </w:r>
      <w:r>
        <w:rPr>
          <w:color w:val="555B63"/>
          <w:sz w:val="18"/>
          <w:szCs w:val="18"/>
        </w:rPr>
        <w:t xml:space="preserve">Included when SUD history = past or active</w:t>
      </w:r>
    </w:p>
    <w:p>
      <w:pPr>
        <w:spacing w:after="20"/>
      </w:pPr>
      <w:r>
        <w:rPr>
          <w:b/>
          <w:bCs/>
          <w:color w:val="555B63"/>
          <w:sz w:val="18"/>
          <w:szCs w:val="18"/>
        </w:rPr>
        <w:t xml:space="preserve">Authority: </w:t>
      </w:r>
      <w:r>
        <w:rPr>
          <w:color w:val="555B63"/>
          <w:sz w:val="18"/>
          <w:szCs w:val="18"/>
        </w:rPr>
        <w:t xml:space="preserve">ASAM/AAAP 2024 (stimulants); ASAM/ACMT 2025 (benzodiazepines); institutional SUD-aware prescribing standard</w:t>
      </w:r>
      <w:r>
        <w:rPr>
          <w:color w:val="1F4E79"/>
          <w:sz w:val="18"/>
          <w:szCs w:val="18"/>
        </w:rPr>
        <w:t xml:space="preserve">  [2, 3]</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Formulation: I understand that my provider has prescribed an extended-release or prodrug formulation of [MEDICATION] because of my history of substance use. I agree not to request a change to an immediate-release formulation without discussing this with my provider.</w:t>
      </w:r>
    </w:p>
    <w:p>
      <w:pPr>
        <w:pStyle w:val="Heading2"/>
        <w:keepNext/>
      </w:pPr>
      <w:r>
        <w:t xml:space="preserve">Pill counts</w:t>
      </w:r>
    </w:p>
    <w:p>
      <w:pPr>
        <w:spacing w:after="20"/>
      </w:pPr>
      <w:r>
        <w:rPr>
          <w:b/>
          <w:bCs/>
          <w:color w:val="555B63"/>
          <w:sz w:val="18"/>
          <w:szCs w:val="18"/>
        </w:rPr>
        <w:t xml:space="preserve">Block ID: </w:t>
      </w:r>
      <w:r>
        <w:rPr>
          <w:color w:val="555B63"/>
          <w:sz w:val="18"/>
          <w:szCs w:val="18"/>
        </w:rPr>
        <w:t xml:space="preserve">S2-VAR-PILL-COUNT-ENHANCED</w:t>
      </w:r>
    </w:p>
    <w:p>
      <w:pPr>
        <w:spacing w:after="20"/>
      </w:pPr>
      <w:r>
        <w:rPr>
          <w:b/>
          <w:bCs/>
          <w:color w:val="555B63"/>
          <w:sz w:val="18"/>
          <w:szCs w:val="18"/>
        </w:rPr>
        <w:t xml:space="preserve">Inclusion rule: </w:t>
      </w:r>
      <w:r>
        <w:rPr>
          <w:color w:val="555B63"/>
          <w:sz w:val="18"/>
          <w:szCs w:val="18"/>
        </w:rPr>
        <w:t xml:space="preserve">Included when Risk tier = enhanced or high-risk</w:t>
      </w:r>
    </w:p>
    <w:p>
      <w:pPr>
        <w:spacing w:after="20"/>
      </w:pPr>
      <w:r>
        <w:rPr>
          <w:b/>
          <w:bCs/>
          <w:color w:val="555B63"/>
          <w:sz w:val="18"/>
          <w:szCs w:val="18"/>
        </w:rPr>
        <w:t xml:space="preserve">Authority: </w:t>
      </w:r>
      <w:r>
        <w:rPr>
          <w:color w:val="555B63"/>
          <w:sz w:val="18"/>
          <w:szCs w:val="18"/>
        </w:rPr>
        <w:t xml:space="preserve">ASAM/AAAP 2024; ASAM/ACMT 2025; institutional enhanced monitoring standard</w:t>
      </w:r>
      <w:r>
        <w:rPr>
          <w:color w:val="1F4E79"/>
          <w:sz w:val="18"/>
          <w:szCs w:val="18"/>
        </w:rPr>
        <w:t xml:space="preserve">  [2, 3]</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Pill counts: I agree to bring my medication to any appointment when requested for a pill count. I understand that pill counts may be requested without advance notice.</w:t>
      </w:r>
    </w:p>
    <w:p>
      <w:pPr>
        <w:pStyle w:val="Heading2"/>
        <w:keepNext/>
      </w:pPr>
      <w:r>
        <w:t xml:space="preserve">Treatment goals (function)</w:t>
      </w:r>
    </w:p>
    <w:p>
      <w:pPr>
        <w:spacing w:after="20"/>
      </w:pPr>
      <w:r>
        <w:rPr>
          <w:b/>
          <w:bCs/>
          <w:color w:val="555B63"/>
          <w:sz w:val="18"/>
          <w:szCs w:val="18"/>
        </w:rPr>
        <w:t xml:space="preserve">Block ID: </w:t>
      </w:r>
      <w:r>
        <w:rPr>
          <w:color w:val="555B63"/>
          <w:sz w:val="18"/>
          <w:szCs w:val="18"/>
        </w:rPr>
        <w:t xml:space="preserve">S2-VAR-FUNCTIONAL-GOAL</w:t>
      </w:r>
    </w:p>
    <w:p>
      <w:pPr>
        <w:spacing w:after="20"/>
      </w:pPr>
      <w:r>
        <w:rPr>
          <w:b/>
          <w:bCs/>
          <w:color w:val="555B63"/>
          <w:sz w:val="18"/>
          <w:szCs w:val="18"/>
        </w:rPr>
        <w:t xml:space="preserve">Inclusion rule: </w:t>
      </w:r>
      <w:r>
        <w:rPr>
          <w:color w:val="555B63"/>
          <w:sz w:val="18"/>
          <w:szCs w:val="18"/>
        </w:rPr>
        <w:t xml:space="preserve">Always included</w:t>
      </w:r>
    </w:p>
    <w:p>
      <w:pPr>
        <w:spacing w:after="20"/>
      </w:pPr>
      <w:r>
        <w:rPr>
          <w:b/>
          <w:bCs/>
          <w:color w:val="555B63"/>
          <w:sz w:val="18"/>
          <w:szCs w:val="18"/>
        </w:rPr>
        <w:t xml:space="preserve">Authority: </w:t>
      </w:r>
      <w:r>
        <w:rPr>
          <w:color w:val="555B63"/>
          <w:sz w:val="18"/>
          <w:szCs w:val="18"/>
        </w:rPr>
        <w:t xml:space="preserve">CDC 2022 (functional improvement as primary goal; PEG scale); ASAM/ACMT 2025</w:t>
      </w:r>
      <w:r>
        <w:rPr>
          <w:color w:val="1F4E79"/>
          <w:sz w:val="18"/>
          <w:szCs w:val="18"/>
        </w:rPr>
        <w:t xml:space="preserve">  [1, 2]</w:t>
      </w:r>
    </w:p>
    <w:p>
      <w:pPr>
        <w:spacing w:after="20"/>
      </w:pPr>
      <w:r>
        <w:rPr>
          <w:b/>
          <w:bCs/>
          <w:color w:val="555B63"/>
          <w:sz w:val="18"/>
          <w:szCs w:val="18"/>
        </w:rPr>
        <w:t xml:space="preserve">Status: </w:t>
      </w:r>
      <w:r>
        <w:rPr>
          <w:color w:val="555B63"/>
          <w:sz w:val="18"/>
          <w:szCs w:val="18"/>
        </w:rPr>
        <w:t xml:space="preserve">Grounded in statute / guideline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Treatment goals: I understand that the goal of this medication is to support my daily function — my ability to work, maintain relationships, and carry out daily activities — and to manage [CONDITION]. I understand that improvement in function, even if pain or symptoms are not fully eliminated, is a meaningful treatment outcome. I agree to discuss my functional status at each visit.</w:t>
      </w:r>
    </w:p>
    <w:p>
      <w:pPr>
        <w:pStyle w:val="Heading1"/>
        <w:keepNext/>
      </w:pPr>
      <w:r>
        <w:t xml:space="preserve">Section 3 — Provider Obligations</w:t>
      </w:r>
    </w:p>
    <w:p>
      <w:pPr>
        <w:spacing w:after="120"/>
        <w:rPr>
          <w:i/>
          <w:iCs/>
        </w:rPr>
      </w:pPr>
      <w:r>
        <w:rPr>
          <w:i/>
          <w:iCs/>
        </w:rPr>
        <w:t xml:space="preserve">What the prescriber commits to in return: PDMP review, functional assessment, reassessment cadence, and — when indicated — naloxone and specialist involvement.</w:t>
      </w:r>
    </w:p>
    <w:p>
      <w:pPr>
        <w:pStyle w:val="Heading2"/>
        <w:keepNext/>
      </w:pPr>
      <w:r>
        <w:t xml:space="preserve">Provider PDMP review — New York</w:t>
      </w:r>
    </w:p>
    <w:p>
      <w:pPr>
        <w:spacing w:after="20"/>
      </w:pPr>
      <w:r>
        <w:rPr>
          <w:b/>
          <w:bCs/>
          <w:color w:val="555B63"/>
          <w:sz w:val="18"/>
          <w:szCs w:val="18"/>
        </w:rPr>
        <w:t xml:space="preserve">Block ID: </w:t>
      </w:r>
      <w:r>
        <w:rPr>
          <w:color w:val="555B63"/>
          <w:sz w:val="18"/>
          <w:szCs w:val="18"/>
        </w:rPr>
        <w:t xml:space="preserve">S3-FIXED-PDMP-NY</w:t>
      </w:r>
    </w:p>
    <w:p>
      <w:pPr>
        <w:spacing w:after="20"/>
      </w:pPr>
      <w:r>
        <w:rPr>
          <w:b/>
          <w:bCs/>
          <w:color w:val="555B63"/>
          <w:sz w:val="18"/>
          <w:szCs w:val="18"/>
        </w:rPr>
        <w:t xml:space="preserve">Inclusion rule: </w:t>
      </w:r>
      <w:r>
        <w:rPr>
          <w:color w:val="555B63"/>
          <w:sz w:val="18"/>
          <w:szCs w:val="18"/>
        </w:rPr>
        <w:t xml:space="preserve">Included when State = NY</w:t>
      </w:r>
    </w:p>
    <w:p>
      <w:pPr>
        <w:spacing w:after="20"/>
      </w:pPr>
      <w:r>
        <w:rPr>
          <w:b/>
          <w:bCs/>
          <w:color w:val="555B63"/>
          <w:sz w:val="18"/>
          <w:szCs w:val="18"/>
        </w:rPr>
        <w:t xml:space="preserve">Authority: </w:t>
      </w:r>
      <w:r>
        <w:rPr>
          <w:color w:val="555B63"/>
          <w:sz w:val="18"/>
          <w:szCs w:val="18"/>
        </w:rPr>
        <w:t xml:space="preserve">NY Public Health Law §3343-a</w:t>
      </w:r>
      <w:r>
        <w:rPr>
          <w:color w:val="1F4E79"/>
          <w:sz w:val="18"/>
          <w:szCs w:val="18"/>
        </w:rPr>
        <w:t xml:space="preserve">  [20]</w:t>
      </w:r>
    </w:p>
    <w:p>
      <w:pPr>
        <w:spacing w:after="20"/>
      </w:pPr>
      <w:r>
        <w:rPr>
          <w:b/>
          <w:bCs/>
          <w:color w:val="555B63"/>
          <w:sz w:val="18"/>
          <w:szCs w:val="18"/>
        </w:rPr>
        <w:t xml:space="preserve">Status: </w:t>
      </w:r>
      <w:r>
        <w:rPr>
          <w:color w:val="555B63"/>
          <w:sz w:val="18"/>
          <w:szCs w:val="18"/>
        </w:rPr>
        <w:t xml:space="preserve">Grounded in statute / guideline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PDMP review: My provider will review the New York State Prescription Monitoring Program registry before every prescription of this controlled substance, as required by NY Public Health Law §3343-a.</w:t>
      </w:r>
    </w:p>
    <w:p>
      <w:pPr>
        <w:pStyle w:val="Heading2"/>
        <w:keepNext/>
      </w:pPr>
      <w:r>
        <w:t xml:space="preserve">Provider PDMP review — New Jersey</w:t>
      </w:r>
    </w:p>
    <w:p>
      <w:pPr>
        <w:spacing w:after="20"/>
      </w:pPr>
      <w:r>
        <w:rPr>
          <w:b/>
          <w:bCs/>
          <w:color w:val="555B63"/>
          <w:sz w:val="18"/>
          <w:szCs w:val="18"/>
        </w:rPr>
        <w:t xml:space="preserve">Block ID: </w:t>
      </w:r>
      <w:r>
        <w:rPr>
          <w:color w:val="555B63"/>
          <w:sz w:val="18"/>
          <w:szCs w:val="18"/>
        </w:rPr>
        <w:t xml:space="preserve">S3-FIXED-PDMP-NJ</w:t>
      </w:r>
    </w:p>
    <w:p>
      <w:pPr>
        <w:spacing w:after="20"/>
      </w:pPr>
      <w:r>
        <w:rPr>
          <w:b/>
          <w:bCs/>
          <w:color w:val="555B63"/>
          <w:sz w:val="18"/>
          <w:szCs w:val="18"/>
        </w:rPr>
        <w:t xml:space="preserve">Inclusion rule: </w:t>
      </w:r>
      <w:r>
        <w:rPr>
          <w:color w:val="555B63"/>
          <w:sz w:val="18"/>
          <w:szCs w:val="18"/>
        </w:rPr>
        <w:t xml:space="preserve">Included when State = NJ</w:t>
      </w:r>
    </w:p>
    <w:p>
      <w:pPr>
        <w:spacing w:after="20"/>
      </w:pPr>
      <w:r>
        <w:rPr>
          <w:b/>
          <w:bCs/>
          <w:color w:val="555B63"/>
          <w:sz w:val="18"/>
          <w:szCs w:val="18"/>
        </w:rPr>
        <w:t xml:space="preserve">Authority: </w:t>
      </w:r>
      <w:r>
        <w:rPr>
          <w:color w:val="555B63"/>
          <w:sz w:val="18"/>
          <w:szCs w:val="18"/>
        </w:rPr>
        <w:t xml:space="preserve">NJSA 45:1-46.1</w:t>
      </w:r>
      <w:r>
        <w:rPr>
          <w:color w:val="1F4E79"/>
          <w:sz w:val="18"/>
          <w:szCs w:val="18"/>
        </w:rPr>
        <w:t xml:space="preserve">  [21]</w:t>
      </w:r>
    </w:p>
    <w:p>
      <w:pPr>
        <w:spacing w:after="20"/>
      </w:pPr>
      <w:r>
        <w:rPr>
          <w:b/>
          <w:bCs/>
          <w:color w:val="555B63"/>
          <w:sz w:val="18"/>
          <w:szCs w:val="18"/>
        </w:rPr>
        <w:t xml:space="preserve">Status: </w:t>
      </w:r>
      <w:r>
        <w:rPr>
          <w:color w:val="555B63"/>
          <w:sz w:val="18"/>
          <w:szCs w:val="18"/>
        </w:rPr>
        <w:t xml:space="preserve">Grounded in statute / guideline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PDMP review: My provider will review the New Jersey Prescription Monitoring Program at my first visit and quarterly during ongoing therapy, as required by NJSA 45:1-46.1.</w:t>
      </w:r>
    </w:p>
    <w:p>
      <w:pPr>
        <w:pStyle w:val="Heading2"/>
        <w:keepNext/>
      </w:pPr>
      <w:r>
        <w:t xml:space="preserve">Functional assessment each visit</w:t>
      </w:r>
    </w:p>
    <w:p>
      <w:pPr>
        <w:spacing w:after="20"/>
      </w:pPr>
      <w:r>
        <w:rPr>
          <w:b/>
          <w:bCs/>
          <w:color w:val="555B63"/>
          <w:sz w:val="18"/>
          <w:szCs w:val="18"/>
        </w:rPr>
        <w:t xml:space="preserve">Block ID: </w:t>
      </w:r>
      <w:r>
        <w:rPr>
          <w:color w:val="555B63"/>
          <w:sz w:val="18"/>
          <w:szCs w:val="18"/>
        </w:rPr>
        <w:t xml:space="preserve">S3-FIXED-FUNCTIONAL-ASSESSMENT</w:t>
      </w:r>
    </w:p>
    <w:p>
      <w:pPr>
        <w:spacing w:after="20"/>
      </w:pPr>
      <w:r>
        <w:rPr>
          <w:b/>
          <w:bCs/>
          <w:color w:val="555B63"/>
          <w:sz w:val="18"/>
          <w:szCs w:val="18"/>
        </w:rPr>
        <w:t xml:space="preserve">Inclusion rule: </w:t>
      </w:r>
      <w:r>
        <w:rPr>
          <w:color w:val="555B63"/>
          <w:sz w:val="18"/>
          <w:szCs w:val="18"/>
        </w:rPr>
        <w:t xml:space="preserve">Always included</w:t>
      </w:r>
    </w:p>
    <w:p>
      <w:pPr>
        <w:spacing w:after="20"/>
      </w:pPr>
      <w:r>
        <w:rPr>
          <w:b/>
          <w:bCs/>
          <w:color w:val="555B63"/>
          <w:sz w:val="18"/>
          <w:szCs w:val="18"/>
        </w:rPr>
        <w:t xml:space="preserve">Authority: </w:t>
      </w:r>
      <w:r>
        <w:rPr>
          <w:color w:val="555B63"/>
          <w:sz w:val="18"/>
          <w:szCs w:val="18"/>
        </w:rPr>
        <w:t xml:space="preserve">CDC 2022; VA/DoD 2022</w:t>
      </w:r>
      <w:r>
        <w:rPr>
          <w:color w:val="1F4E79"/>
          <w:sz w:val="18"/>
          <w:szCs w:val="18"/>
        </w:rPr>
        <w:t xml:space="preserve">  [1, 5]</w:t>
      </w:r>
    </w:p>
    <w:p>
      <w:pPr>
        <w:spacing w:after="20"/>
      </w:pPr>
      <w:r>
        <w:rPr>
          <w:b/>
          <w:bCs/>
          <w:color w:val="555B63"/>
          <w:sz w:val="18"/>
          <w:szCs w:val="18"/>
        </w:rPr>
        <w:t xml:space="preserve">Status: </w:t>
      </w:r>
      <w:r>
        <w:rPr>
          <w:color w:val="555B63"/>
          <w:sz w:val="18"/>
          <w:szCs w:val="18"/>
        </w:rPr>
        <w:t xml:space="preserve">Grounded in statute / guideline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Functional assessment: My provider will assess my functional status — including my ability to work, maintain relationships, carry out daily activities, and drive safely — at each visit.</w:t>
      </w:r>
    </w:p>
    <w:p>
      <w:pPr>
        <w:pStyle w:val="Heading2"/>
        <w:keepNext/>
      </w:pPr>
      <w:r>
        <w:t xml:space="preserve">Naloxone offer &amp; education</w:t>
      </w:r>
    </w:p>
    <w:p>
      <w:pPr>
        <w:spacing w:after="20"/>
      </w:pPr>
      <w:r>
        <w:rPr>
          <w:b/>
          <w:bCs/>
          <w:color w:val="555B63"/>
          <w:sz w:val="18"/>
          <w:szCs w:val="18"/>
        </w:rPr>
        <w:t xml:space="preserve">Block ID: </w:t>
      </w:r>
      <w:r>
        <w:rPr>
          <w:color w:val="555B63"/>
          <w:sz w:val="18"/>
          <w:szCs w:val="18"/>
        </w:rPr>
        <w:t xml:space="preserve">S3-VAR-NALOXONE</w:t>
      </w:r>
    </w:p>
    <w:p>
      <w:pPr>
        <w:spacing w:after="20"/>
      </w:pPr>
      <w:r>
        <w:rPr>
          <w:b/>
          <w:bCs/>
          <w:color w:val="555B63"/>
          <w:sz w:val="18"/>
          <w:szCs w:val="18"/>
        </w:rPr>
        <w:t xml:space="preserve">Inclusion rule: </w:t>
      </w:r>
      <w:r>
        <w:rPr>
          <w:color w:val="555B63"/>
          <w:sz w:val="18"/>
          <w:szCs w:val="18"/>
        </w:rPr>
        <w:t xml:space="preserve">Included when Naloxone = on</w:t>
      </w:r>
    </w:p>
    <w:p>
      <w:pPr>
        <w:spacing w:after="20"/>
      </w:pPr>
      <w:r>
        <w:rPr>
          <w:b/>
          <w:bCs/>
          <w:color w:val="555B63"/>
          <w:sz w:val="18"/>
          <w:szCs w:val="18"/>
        </w:rPr>
        <w:t xml:space="preserve">Authority: </w:t>
      </w:r>
      <w:r>
        <w:rPr>
          <w:color w:val="555B63"/>
          <w:sz w:val="18"/>
          <w:szCs w:val="18"/>
        </w:rPr>
        <w:t xml:space="preserve">CDC 2022 (offer naloxone when: &gt;=50 MME, concurrent benzo, SUD history, sleep-disordered breathing, post-taper/post-incarceration); ASAM/ACMT 2025 (strong recommendation for opioid+benzo)</w:t>
      </w:r>
      <w:r>
        <w:rPr>
          <w:color w:val="1F4E79"/>
          <w:sz w:val="18"/>
          <w:szCs w:val="18"/>
        </w:rPr>
        <w:t xml:space="preserve">  [1, 2]</w:t>
      </w:r>
    </w:p>
    <w:p>
      <w:pPr>
        <w:spacing w:after="20"/>
      </w:pPr>
      <w:r>
        <w:rPr>
          <w:b/>
          <w:bCs/>
          <w:color w:val="555B63"/>
          <w:sz w:val="18"/>
          <w:szCs w:val="18"/>
        </w:rPr>
        <w:t xml:space="preserve">Status: </w:t>
      </w:r>
      <w:r>
        <w:rPr>
          <w:color w:val="555B63"/>
          <w:sz w:val="18"/>
          <w:szCs w:val="18"/>
        </w:rPr>
        <w:t xml:space="preserve">Grounded in statute / guideline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Naloxone: My provider will offer to prescribe naloxone (overdose reversal medication) and will provide education on its use. I understand why naloxone has been recommended in my situation.</w:t>
      </w:r>
    </w:p>
    <w:p>
      <w:pPr>
        <w:pStyle w:val="Heading2"/>
        <w:keepNext/>
      </w:pPr>
      <w:r>
        <w:t xml:space="preserve">Specialist involvement</w:t>
      </w:r>
    </w:p>
    <w:p>
      <w:pPr>
        <w:spacing w:after="20"/>
      </w:pPr>
      <w:r>
        <w:rPr>
          <w:b/>
          <w:bCs/>
          <w:color w:val="555B63"/>
          <w:sz w:val="18"/>
          <w:szCs w:val="18"/>
        </w:rPr>
        <w:t xml:space="preserve">Block ID: </w:t>
      </w:r>
      <w:r>
        <w:rPr>
          <w:color w:val="555B63"/>
          <w:sz w:val="18"/>
          <w:szCs w:val="18"/>
        </w:rPr>
        <w:t xml:space="preserve">S3-VAR-SPECIALIST-HIGHRISK</w:t>
      </w:r>
    </w:p>
    <w:p>
      <w:pPr>
        <w:spacing w:after="20"/>
      </w:pPr>
      <w:r>
        <w:rPr>
          <w:b/>
          <w:bCs/>
          <w:color w:val="555B63"/>
          <w:sz w:val="18"/>
          <w:szCs w:val="18"/>
        </w:rPr>
        <w:t xml:space="preserve">Inclusion rule: </w:t>
      </w:r>
      <w:r>
        <w:rPr>
          <w:color w:val="555B63"/>
          <w:sz w:val="18"/>
          <w:szCs w:val="18"/>
        </w:rPr>
        <w:t xml:space="preserve">Included when Risk tier = high-risk</w:t>
      </w:r>
    </w:p>
    <w:p>
      <w:pPr>
        <w:spacing w:after="20"/>
      </w:pPr>
      <w:r>
        <w:rPr>
          <w:b/>
          <w:bCs/>
          <w:color w:val="555B63"/>
          <w:sz w:val="18"/>
          <w:szCs w:val="18"/>
        </w:rPr>
        <w:t xml:space="preserve">Authority: </w:t>
      </w:r>
      <w:r>
        <w:rPr>
          <w:color w:val="555B63"/>
          <w:sz w:val="18"/>
          <w:szCs w:val="18"/>
        </w:rPr>
        <w:t xml:space="preserve">ASAM/AAAP 2024; ASAM/ACMT 2025; CDC 2022</w:t>
      </w:r>
      <w:r>
        <w:rPr>
          <w:color w:val="1F4E79"/>
          <w:sz w:val="18"/>
          <w:szCs w:val="18"/>
        </w:rPr>
        <w:t xml:space="preserve">  [1, 2, 3]</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Specialist involvement: My provider will arrange consultation with a specialist — addiction medicine, addiction psychiatry, pain management, or medical toxicology as appropriate — before or alongside continuing this prescription. My provider will coordinate my care and will not simply transfer my care without ensuring continuity.</w:t>
      </w:r>
    </w:p>
    <w:p>
      <w:pPr>
        <w:pStyle w:val="Heading2"/>
        <w:keepNext/>
      </w:pPr>
      <w:r>
        <w:t xml:space="preserve">Reassessment — at least annually</w:t>
      </w:r>
    </w:p>
    <w:p>
      <w:pPr>
        <w:spacing w:after="20"/>
      </w:pPr>
      <w:r>
        <w:rPr>
          <w:b/>
          <w:bCs/>
          <w:color w:val="555B63"/>
          <w:sz w:val="18"/>
          <w:szCs w:val="18"/>
        </w:rPr>
        <w:t xml:space="preserve">Block ID: </w:t>
      </w:r>
      <w:r>
        <w:rPr>
          <w:color w:val="555B63"/>
          <w:sz w:val="18"/>
          <w:szCs w:val="18"/>
        </w:rPr>
        <w:t xml:space="preserve">S3-VAR-REASSESSMENT-STANDARD</w:t>
      </w:r>
    </w:p>
    <w:p>
      <w:pPr>
        <w:spacing w:after="20"/>
      </w:pPr>
      <w:r>
        <w:rPr>
          <w:b/>
          <w:bCs/>
          <w:color w:val="555B63"/>
          <w:sz w:val="18"/>
          <w:szCs w:val="18"/>
        </w:rPr>
        <w:t xml:space="preserve">Inclusion rule: </w:t>
      </w:r>
      <w:r>
        <w:rPr>
          <w:color w:val="555B63"/>
          <w:sz w:val="18"/>
          <w:szCs w:val="18"/>
        </w:rPr>
        <w:t xml:space="preserve">Included when Risk tier = standard</w:t>
      </w:r>
    </w:p>
    <w:p>
      <w:pPr>
        <w:spacing w:after="20"/>
      </w:pPr>
      <w:r>
        <w:rPr>
          <w:b/>
          <w:bCs/>
          <w:color w:val="555B63"/>
          <w:sz w:val="18"/>
          <w:szCs w:val="18"/>
        </w:rPr>
        <w:t xml:space="preserve">Authority: </w:t>
      </w:r>
      <w:r>
        <w:rPr>
          <w:color w:val="555B63"/>
          <w:sz w:val="18"/>
          <w:szCs w:val="18"/>
        </w:rPr>
        <w:t xml:space="preserve">CDC 2022; AAFP 2024; institutional standard</w:t>
      </w:r>
      <w:r>
        <w:rPr>
          <w:color w:val="1F4E79"/>
          <w:sz w:val="18"/>
          <w:szCs w:val="18"/>
        </w:rPr>
        <w:t xml:space="preserve">  [1, 6]</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Reassessment: My provider will reassess the benefit and risk of continuing this medication at least annually, or sooner if my functional status changes, new concerns emerge, or I request a reassessment.</w:t>
      </w:r>
    </w:p>
    <w:p>
      <w:pPr>
        <w:pStyle w:val="Heading2"/>
        <w:keepNext/>
      </w:pPr>
      <w:r>
        <w:t xml:space="preserve">Reassessment — at least every 6 months</w:t>
      </w:r>
    </w:p>
    <w:p>
      <w:pPr>
        <w:spacing w:after="20"/>
      </w:pPr>
      <w:r>
        <w:rPr>
          <w:b/>
          <w:bCs/>
          <w:color w:val="555B63"/>
          <w:sz w:val="18"/>
          <w:szCs w:val="18"/>
        </w:rPr>
        <w:t xml:space="preserve">Block ID: </w:t>
      </w:r>
      <w:r>
        <w:rPr>
          <w:color w:val="555B63"/>
          <w:sz w:val="18"/>
          <w:szCs w:val="18"/>
        </w:rPr>
        <w:t xml:space="preserve">S3-VAR-REASSESSMENT-ENHANCED</w:t>
      </w:r>
    </w:p>
    <w:p>
      <w:pPr>
        <w:spacing w:after="20"/>
      </w:pPr>
      <w:r>
        <w:rPr>
          <w:b/>
          <w:bCs/>
          <w:color w:val="555B63"/>
          <w:sz w:val="18"/>
          <w:szCs w:val="18"/>
        </w:rPr>
        <w:t xml:space="preserve">Inclusion rule: </w:t>
      </w:r>
      <w:r>
        <w:rPr>
          <w:color w:val="555B63"/>
          <w:sz w:val="18"/>
          <w:szCs w:val="18"/>
        </w:rPr>
        <w:t xml:space="preserve">Included when Risk tier = enhanced</w:t>
      </w:r>
    </w:p>
    <w:p>
      <w:pPr>
        <w:spacing w:after="20"/>
      </w:pPr>
      <w:r>
        <w:rPr>
          <w:b/>
          <w:bCs/>
          <w:color w:val="555B63"/>
          <w:sz w:val="18"/>
          <w:szCs w:val="18"/>
        </w:rPr>
        <w:t xml:space="preserve">Authority: </w:t>
      </w:r>
      <w:r>
        <w:rPr>
          <w:color w:val="555B63"/>
          <w:sz w:val="18"/>
          <w:szCs w:val="18"/>
        </w:rPr>
        <w:t xml:space="preserve">CDC 2022; AAPM/APS consensus; institutional enhanced monitoring standard</w:t>
      </w:r>
      <w:r>
        <w:rPr>
          <w:color w:val="1F4E79"/>
          <w:sz w:val="18"/>
          <w:szCs w:val="18"/>
        </w:rPr>
        <w:t xml:space="preserve">  [1, 4]</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Reassessment: My provider will reassess the benefit and risk of continuing this medication at least every 6 months, or sooner if concerns emerge.</w:t>
      </w:r>
    </w:p>
    <w:p>
      <w:pPr>
        <w:pStyle w:val="Heading2"/>
        <w:keepNext/>
      </w:pPr>
      <w:r>
        <w:t xml:space="preserve">Reassessment — every visit / ≤3 months</w:t>
      </w:r>
    </w:p>
    <w:p>
      <w:pPr>
        <w:spacing w:after="20"/>
      </w:pPr>
      <w:r>
        <w:rPr>
          <w:b/>
          <w:bCs/>
          <w:color w:val="555B63"/>
          <w:sz w:val="18"/>
          <w:szCs w:val="18"/>
        </w:rPr>
        <w:t xml:space="preserve">Block ID: </w:t>
      </w:r>
      <w:r>
        <w:rPr>
          <w:color w:val="555B63"/>
          <w:sz w:val="18"/>
          <w:szCs w:val="18"/>
        </w:rPr>
        <w:t xml:space="preserve">S3-VAR-REASSESSMENT-HIGHRISK</w:t>
      </w:r>
    </w:p>
    <w:p>
      <w:pPr>
        <w:spacing w:after="20"/>
      </w:pPr>
      <w:r>
        <w:rPr>
          <w:b/>
          <w:bCs/>
          <w:color w:val="555B63"/>
          <w:sz w:val="18"/>
          <w:szCs w:val="18"/>
        </w:rPr>
        <w:t xml:space="preserve">Inclusion rule: </w:t>
      </w:r>
      <w:r>
        <w:rPr>
          <w:color w:val="555B63"/>
          <w:sz w:val="18"/>
          <w:szCs w:val="18"/>
        </w:rPr>
        <w:t xml:space="preserve">Included when Risk tier = high-risk</w:t>
      </w:r>
    </w:p>
    <w:p>
      <w:pPr>
        <w:spacing w:after="20"/>
      </w:pPr>
      <w:r>
        <w:rPr>
          <w:b/>
          <w:bCs/>
          <w:color w:val="555B63"/>
          <w:sz w:val="18"/>
          <w:szCs w:val="18"/>
        </w:rPr>
        <w:t xml:space="preserve">Authority: </w:t>
      </w:r>
      <w:r>
        <w:rPr>
          <w:color w:val="555B63"/>
          <w:sz w:val="18"/>
          <w:szCs w:val="18"/>
        </w:rPr>
        <w:t xml:space="preserve">ASAM/ACMT 2025 (opioid+benzo: every 3 months or every encounter); institutional high-risk standard</w:t>
      </w:r>
      <w:r>
        <w:rPr>
          <w:color w:val="1F4E79"/>
          <w:sz w:val="18"/>
          <w:szCs w:val="18"/>
        </w:rPr>
        <w:t xml:space="preserve">  [2]</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Reassessment: My provider will reassess the benefit and risk of continuing this medication at every visit, and at minimum every 3 months.</w:t>
      </w:r>
    </w:p>
    <w:p>
      <w:pPr>
        <w:pStyle w:val="Heading1"/>
        <w:keepNext/>
      </w:pPr>
      <w:r>
        <w:t xml:space="preserve">Section 4 — Monitoring and Graduated Response</w:t>
      </w:r>
    </w:p>
    <w:p>
      <w:pPr>
        <w:spacing w:after="120"/>
        <w:rPr>
          <w:i/>
          <w:iCs/>
        </w:rPr>
      </w:pPr>
      <w:r>
        <w:rPr>
          <w:i/>
          <w:iCs/>
        </w:rPr>
        <w:t xml:space="preserve">How monitoring findings are handled (graduated, non-punitive), plus situation-specific risk counseling that only appears when it applies.</w:t>
      </w:r>
    </w:p>
    <w:p>
      <w:pPr>
        <w:pStyle w:val="Heading2"/>
        <w:keepNext/>
      </w:pPr>
      <w:r>
        <w:t xml:space="preserve">Monitoring is a safety tool, not punishment</w:t>
      </w:r>
    </w:p>
    <w:p>
      <w:pPr>
        <w:spacing w:after="20"/>
      </w:pPr>
      <w:r>
        <w:rPr>
          <w:b/>
          <w:bCs/>
          <w:color w:val="555B63"/>
          <w:sz w:val="18"/>
          <w:szCs w:val="18"/>
        </w:rPr>
        <w:t xml:space="preserve">Block ID: </w:t>
      </w:r>
      <w:r>
        <w:rPr>
          <w:color w:val="555B63"/>
          <w:sz w:val="18"/>
          <w:szCs w:val="18"/>
        </w:rPr>
        <w:t xml:space="preserve">S4-FIXED-MONITORING-FRAMING</w:t>
      </w:r>
    </w:p>
    <w:p>
      <w:pPr>
        <w:spacing w:after="20"/>
      </w:pPr>
      <w:r>
        <w:rPr>
          <w:b/>
          <w:bCs/>
          <w:color w:val="555B63"/>
          <w:sz w:val="18"/>
          <w:szCs w:val="18"/>
        </w:rPr>
        <w:t xml:space="preserve">Inclusion rule: </w:t>
      </w:r>
      <w:r>
        <w:rPr>
          <w:color w:val="555B63"/>
          <w:sz w:val="18"/>
          <w:szCs w:val="18"/>
        </w:rPr>
        <w:t xml:space="preserve">Always included</w:t>
      </w:r>
    </w:p>
    <w:p>
      <w:pPr>
        <w:spacing w:after="20"/>
      </w:pPr>
      <w:r>
        <w:rPr>
          <w:b/>
          <w:bCs/>
          <w:color w:val="555B63"/>
          <w:sz w:val="18"/>
          <w:szCs w:val="18"/>
        </w:rPr>
        <w:t xml:space="preserve">Authority: </w:t>
      </w:r>
      <w:r>
        <w:rPr>
          <w:color w:val="555B63"/>
          <w:sz w:val="18"/>
          <w:szCs w:val="18"/>
        </w:rPr>
        <w:t xml:space="preserve">CDC 2022 (should not dismiss patients from care on the basis of toxicology results or PDMP information); ASAM/ACMT 2025</w:t>
      </w:r>
      <w:r>
        <w:rPr>
          <w:color w:val="1F4E79"/>
          <w:sz w:val="18"/>
          <w:szCs w:val="18"/>
        </w:rPr>
        <w:t xml:space="preserve">  [1, 2]</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Monitoring purpose: The monitoring activities described in this agreement — PDMP review, urine drug screening, pill counts, functional assessment — are safety tools, not punitive measures. Unexpected monitoring findings will be discussed with me directly before any clinical decisions are made. My provider will apply clinical judgment to each finding and will not dismiss me from care on the basis of a single monitoring result.</w:t>
      </w:r>
    </w:p>
    <w:p>
      <w:pPr>
        <w:pStyle w:val="Heading2"/>
        <w:keepNext/>
      </w:pPr>
      <w:r>
        <w:t xml:space="preserve">Graduated response to concerns</w:t>
      </w:r>
    </w:p>
    <w:p>
      <w:pPr>
        <w:spacing w:after="20"/>
      </w:pPr>
      <w:r>
        <w:rPr>
          <w:b/>
          <w:bCs/>
          <w:color w:val="555B63"/>
          <w:sz w:val="18"/>
          <w:szCs w:val="18"/>
        </w:rPr>
        <w:t xml:space="preserve">Block ID: </w:t>
      </w:r>
      <w:r>
        <w:rPr>
          <w:color w:val="555B63"/>
          <w:sz w:val="18"/>
          <w:szCs w:val="18"/>
        </w:rPr>
        <w:t xml:space="preserve">S4-FIXED-GRADUATED-RESPONSE</w:t>
      </w:r>
    </w:p>
    <w:p>
      <w:pPr>
        <w:spacing w:after="20"/>
      </w:pPr>
      <w:r>
        <w:rPr>
          <w:b/>
          <w:bCs/>
          <w:color w:val="555B63"/>
          <w:sz w:val="18"/>
          <w:szCs w:val="18"/>
        </w:rPr>
        <w:t xml:space="preserve">Inclusion rule: </w:t>
      </w:r>
      <w:r>
        <w:rPr>
          <w:color w:val="555B63"/>
          <w:sz w:val="18"/>
          <w:szCs w:val="18"/>
        </w:rPr>
        <w:t xml:space="preserve">Always included</w:t>
      </w:r>
    </w:p>
    <w:p>
      <w:pPr>
        <w:spacing w:after="20"/>
      </w:pPr>
      <w:r>
        <w:rPr>
          <w:b/>
          <w:bCs/>
          <w:color w:val="555B63"/>
          <w:sz w:val="18"/>
          <w:szCs w:val="18"/>
        </w:rPr>
        <w:t xml:space="preserve">Authority: </w:t>
      </w:r>
      <w:r>
        <w:rPr>
          <w:color w:val="555B63"/>
          <w:sz w:val="18"/>
          <w:szCs w:val="18"/>
        </w:rPr>
        <w:t xml:space="preserve">CDC 2022; ASAM/ACMT 2025; AAFP (avoid dismissing patients); APS/AAPM 2009 (graduated response to aberrant behaviors)</w:t>
      </w:r>
      <w:r>
        <w:rPr>
          <w:color w:val="1F4E79"/>
          <w:sz w:val="18"/>
          <w:szCs w:val="18"/>
        </w:rPr>
        <w:t xml:space="preserve">  [1, 2, 4, 6]</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0" w:before="80" w:line="288"/>
        <w:ind w:left="160" w:right="160"/>
      </w:pPr>
      <w:r>
        <w:rPr>
          <w:rFonts w:ascii="Cambria" w:cs="Cambria" w:eastAsia="Cambria" w:hAnsi="Cambria"/>
          <w:sz w:val="21"/>
          <w:szCs w:val="21"/>
        </w:rPr>
        <w:t xml:space="preserve">Response to concerns: If a monitoring finding, pattern of requests, or clinical concern arises, my provider will follow a graduated approach:</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 </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(1) First concern: Direct conversation, documentation, and reassessment of the monitoring plan. No automatic change to the prescription.</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 </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(2) Repeated or escalating concern: Formal review within the controlled substance agreement framework, urine drug screen if not already done, PDMP review, and discussion of whether the current management plan remains appropriate. Specialist input may be sought.</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 </w:t>
      </w:r>
    </w:p>
    <w:p>
      <w:pPr>
        <w:pBdr>
          <w:left w:val="single" w:color="1F4E79" w:sz="18" w:space="8"/>
        </w:pBdr>
        <w:shd w:fill="F5F3EE" w:color="auto" w:val="clear"/>
        <w:spacing w:after="160" w:before="0" w:line="288"/>
        <w:ind w:left="160" w:right="160"/>
      </w:pPr>
      <w:r>
        <w:rPr>
          <w:rFonts w:ascii="Cambria" w:cs="Cambria" w:eastAsia="Cambria" w:hAnsi="Cambria"/>
          <w:sz w:val="21"/>
          <w:szCs w:val="21"/>
        </w:rPr>
        <w:t xml:space="preserve">(3) Significant or unresolved concern: Specialist consultation before continuing. Continuation may not be appropriate without specialist co-management. If I am not able to continue in this practice, my provider will ensure I receive a referral or bridge plan — I will not be abruptly abandoned.</w:t>
      </w:r>
    </w:p>
    <w:p>
      <w:pPr>
        <w:pStyle w:val="Heading2"/>
        <w:keepNext/>
      </w:pPr>
      <w:r>
        <w:t xml:space="preserve">Driving &amp; safety-sensitive work</w:t>
      </w:r>
    </w:p>
    <w:p>
      <w:pPr>
        <w:spacing w:after="20"/>
      </w:pPr>
      <w:r>
        <w:rPr>
          <w:b/>
          <w:bCs/>
          <w:color w:val="555B63"/>
          <w:sz w:val="18"/>
          <w:szCs w:val="18"/>
        </w:rPr>
        <w:t xml:space="preserve">Block ID: </w:t>
      </w:r>
      <w:r>
        <w:rPr>
          <w:color w:val="555B63"/>
          <w:sz w:val="18"/>
          <w:szCs w:val="18"/>
        </w:rPr>
        <w:t xml:space="preserve">S4-VAR-DRIVING</w:t>
      </w:r>
    </w:p>
    <w:p>
      <w:pPr>
        <w:spacing w:after="20"/>
      </w:pPr>
      <w:r>
        <w:rPr>
          <w:b/>
          <w:bCs/>
          <w:color w:val="555B63"/>
          <w:sz w:val="18"/>
          <w:szCs w:val="18"/>
        </w:rPr>
        <w:t xml:space="preserve">Inclusion rule: </w:t>
      </w:r>
      <w:r>
        <w:rPr>
          <w:color w:val="555B63"/>
          <w:sz w:val="18"/>
          <w:szCs w:val="18"/>
        </w:rPr>
        <w:t xml:space="preserve">Included when Driving / safety-sensitive = on</w:t>
      </w:r>
    </w:p>
    <w:p>
      <w:pPr>
        <w:spacing w:after="20"/>
      </w:pPr>
      <w:r>
        <w:rPr>
          <w:b/>
          <w:bCs/>
          <w:color w:val="555B63"/>
          <w:sz w:val="18"/>
          <w:szCs w:val="18"/>
        </w:rPr>
        <w:t xml:space="preserve">Authority: </w:t>
      </w:r>
      <w:r>
        <w:rPr>
          <w:color w:val="555B63"/>
          <w:sz w:val="18"/>
          <w:szCs w:val="18"/>
        </w:rPr>
        <w:t xml:space="preserve">Dassanayake meta-analysis (driving risk); Tran JAMA Network Open 2024 (reporting obligations by state); FAA/FMCSA regulations for safety-sensitive occupations</w:t>
      </w:r>
      <w:r>
        <w:rPr>
          <w:color w:val="1F4E79"/>
          <w:sz w:val="18"/>
          <w:szCs w:val="18"/>
        </w:rPr>
        <w:t xml:space="preserve">  [12, 13, 14]</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Driving and safety-sensitive activities: My provider has counseled me that [MEDICATION CLASS] may impair driving and the operation of heavy machinery. I acknowledge this counseling. [IF SAFETY-SENSITIVE OCCUPATION: I understand that my occupation as [OCCUPATION] may have specific regulatory requirements regarding controlled substance use, and I agree to comply with applicable reporting obligations.]</w:t>
      </w:r>
    </w:p>
    <w:p>
      <w:pPr>
        <w:pStyle w:val="Heading2"/>
        <w:keepNext/>
      </w:pPr>
      <w:r>
        <w:t xml:space="preserve">Age-related risks (65+)</w:t>
      </w:r>
    </w:p>
    <w:p>
      <w:pPr>
        <w:spacing w:after="20"/>
      </w:pPr>
      <w:r>
        <w:rPr>
          <w:b/>
          <w:bCs/>
          <w:color w:val="555B63"/>
          <w:sz w:val="18"/>
          <w:szCs w:val="18"/>
        </w:rPr>
        <w:t xml:space="preserve">Block ID: </w:t>
      </w:r>
      <w:r>
        <w:rPr>
          <w:color w:val="555B63"/>
          <w:sz w:val="18"/>
          <w:szCs w:val="18"/>
        </w:rPr>
        <w:t xml:space="preserve">S4-VAR-AGE-65</w:t>
      </w:r>
    </w:p>
    <w:p>
      <w:pPr>
        <w:spacing w:after="20"/>
      </w:pPr>
      <w:r>
        <w:rPr>
          <w:b/>
          <w:bCs/>
          <w:color w:val="555B63"/>
          <w:sz w:val="18"/>
          <w:szCs w:val="18"/>
        </w:rPr>
        <w:t xml:space="preserve">Inclusion rule: </w:t>
      </w:r>
      <w:r>
        <w:rPr>
          <w:color w:val="555B63"/>
          <w:sz w:val="18"/>
          <w:szCs w:val="18"/>
        </w:rPr>
        <w:t xml:space="preserve">Included when Age ≥ 65 = on</w:t>
      </w:r>
    </w:p>
    <w:p>
      <w:pPr>
        <w:spacing w:after="20"/>
      </w:pPr>
      <w:r>
        <w:rPr>
          <w:b/>
          <w:bCs/>
          <w:color w:val="555B63"/>
          <w:sz w:val="18"/>
          <w:szCs w:val="18"/>
        </w:rPr>
        <w:t xml:space="preserve">Authority: </w:t>
      </w:r>
      <w:r>
        <w:rPr>
          <w:color w:val="555B63"/>
          <w:sz w:val="18"/>
          <w:szCs w:val="18"/>
        </w:rPr>
        <w:t xml:space="preserve">AGS Beers Criteria 2023; Donnelly PLoS One 2017 (fracture risk); Crowe Arch Clin Neuropsychol 2018 (cognitive effects)</w:t>
      </w:r>
      <w:r>
        <w:rPr>
          <w:color w:val="1F4E79"/>
          <w:sz w:val="18"/>
          <w:szCs w:val="18"/>
        </w:rPr>
        <w:t xml:space="preserve">  [7, 8, 9]</w:t>
      </w:r>
    </w:p>
    <w:p>
      <w:pPr>
        <w:spacing w:after="20"/>
      </w:pPr>
      <w:r>
        <w:rPr>
          <w:b/>
          <w:bCs/>
          <w:color w:val="555B63"/>
          <w:sz w:val="18"/>
          <w:szCs w:val="18"/>
        </w:rPr>
        <w:t xml:space="preserve">Status: </w:t>
      </w:r>
      <w:r>
        <w:rPr>
          <w:color w:val="555B63"/>
          <w:sz w:val="18"/>
          <w:szCs w:val="18"/>
        </w:rPr>
        <w:t xml:space="preserve">Grounded in statute / guideline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Age-related risks: My provider has discussed with me that benzodiazepines and sedating medications carry increased risks of falls, fractures, and cognitive effects in adults over 65, as noted in the American Geriatrics Society Beers Criteria. I understand these risks and have discussed them with my provider. My provider and I have agreed on the clinical rationale for continuing this medication at this time, and will reassess annually or sooner if my functional status changes.</w:t>
      </w:r>
    </w:p>
    <w:p>
      <w:pPr>
        <w:pStyle w:val="Heading2"/>
        <w:keepNext/>
      </w:pPr>
      <w:r>
        <w:t xml:space="preserve">Opioid + benzodiazepine combination</w:t>
      </w:r>
    </w:p>
    <w:p>
      <w:pPr>
        <w:spacing w:after="20"/>
      </w:pPr>
      <w:r>
        <w:rPr>
          <w:b/>
          <w:bCs/>
          <w:color w:val="555B63"/>
          <w:sz w:val="18"/>
          <w:szCs w:val="18"/>
        </w:rPr>
        <w:t xml:space="preserve">Block ID: </w:t>
      </w:r>
      <w:r>
        <w:rPr>
          <w:color w:val="555B63"/>
          <w:sz w:val="18"/>
          <w:szCs w:val="18"/>
        </w:rPr>
        <w:t xml:space="preserve">S4-VAR-COMBO-OPIOID-BENZO</w:t>
      </w:r>
    </w:p>
    <w:p>
      <w:pPr>
        <w:spacing w:after="20"/>
      </w:pPr>
      <w:r>
        <w:rPr>
          <w:b/>
          <w:bCs/>
          <w:color w:val="555B63"/>
          <w:sz w:val="18"/>
          <w:szCs w:val="18"/>
        </w:rPr>
        <w:t xml:space="preserve">Inclusion rule: </w:t>
      </w:r>
      <w:r>
        <w:rPr>
          <w:color w:val="555B63"/>
          <w:sz w:val="18"/>
          <w:szCs w:val="18"/>
        </w:rPr>
        <w:t xml:space="preserve">Included when Opioid + benzodiazepine = on</w:t>
      </w:r>
    </w:p>
    <w:p>
      <w:pPr>
        <w:spacing w:after="20"/>
      </w:pPr>
      <w:r>
        <w:rPr>
          <w:b/>
          <w:bCs/>
          <w:color w:val="555B63"/>
          <w:sz w:val="18"/>
          <w:szCs w:val="18"/>
        </w:rPr>
        <w:t xml:space="preserve">Authority: </w:t>
      </w:r>
      <w:r>
        <w:rPr>
          <w:color w:val="555B63"/>
          <w:sz w:val="18"/>
          <w:szCs w:val="18"/>
        </w:rPr>
        <w:t xml:space="preserve">FDA boxed warning (2016); CDC 2022 Recommendation 11 (Category B); ASAM/ACMT 2025 (naloxone strong recommendation); Hernandez JAMA Network Open 2018 (time-dependent risk)</w:t>
      </w:r>
      <w:r>
        <w:rPr>
          <w:color w:val="1F4E79"/>
          <w:sz w:val="18"/>
          <w:szCs w:val="18"/>
        </w:rPr>
        <w:t xml:space="preserve">  [1, 2, 10, 11]</w:t>
      </w:r>
    </w:p>
    <w:p>
      <w:pPr>
        <w:spacing w:after="20"/>
      </w:pPr>
      <w:r>
        <w:rPr>
          <w:b/>
          <w:bCs/>
          <w:color w:val="555B63"/>
          <w:sz w:val="18"/>
          <w:szCs w:val="18"/>
        </w:rPr>
        <w:t xml:space="preserve">Status: </w:t>
      </w:r>
      <w:r>
        <w:rPr>
          <w:color w:val="555B63"/>
          <w:sz w:val="18"/>
          <w:szCs w:val="18"/>
        </w:rPr>
        <w:t xml:space="preserve">Grounded in statute / guideline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Opioid + benzodiazepine combination: My provider has informed me that I am prescribed both an opioid and a benzodiazepine. I understand that this combination carries an elevated risk of serious adverse outcomes including overdose. My provider has prescribed naloxone and has counseled my household on its use. I understand that the long-term goal is to reduce the overall burden of these medications, and that specialist input will be sought to plan any changes safely.</w:t>
      </w:r>
    </w:p>
    <w:p>
      <w:pPr>
        <w:pStyle w:val="Heading2"/>
        <w:keepNext/>
      </w:pPr>
      <w:r>
        <w:t xml:space="preserve">Substance-use history</w:t>
      </w:r>
    </w:p>
    <w:p>
      <w:pPr>
        <w:spacing w:after="20"/>
      </w:pPr>
      <w:r>
        <w:rPr>
          <w:b/>
          <w:bCs/>
          <w:color w:val="555B63"/>
          <w:sz w:val="18"/>
          <w:szCs w:val="18"/>
        </w:rPr>
        <w:t xml:space="preserve">Block ID: </w:t>
      </w:r>
      <w:r>
        <w:rPr>
          <w:color w:val="555B63"/>
          <w:sz w:val="18"/>
          <w:szCs w:val="18"/>
        </w:rPr>
        <w:t xml:space="preserve">S4-VAR-SUD-AWARE</w:t>
      </w:r>
    </w:p>
    <w:p>
      <w:pPr>
        <w:spacing w:after="20"/>
      </w:pPr>
      <w:r>
        <w:rPr>
          <w:b/>
          <w:bCs/>
          <w:color w:val="555B63"/>
          <w:sz w:val="18"/>
          <w:szCs w:val="18"/>
        </w:rPr>
        <w:t xml:space="preserve">Inclusion rule: </w:t>
      </w:r>
      <w:r>
        <w:rPr>
          <w:color w:val="555B63"/>
          <w:sz w:val="18"/>
          <w:szCs w:val="18"/>
        </w:rPr>
        <w:t xml:space="preserve">Included when SUD history = past or active</w:t>
      </w:r>
    </w:p>
    <w:p>
      <w:pPr>
        <w:spacing w:after="20"/>
      </w:pPr>
      <w:r>
        <w:rPr>
          <w:b/>
          <w:bCs/>
          <w:color w:val="555B63"/>
          <w:sz w:val="18"/>
          <w:szCs w:val="18"/>
        </w:rPr>
        <w:t xml:space="preserve">Authority: </w:t>
      </w:r>
      <w:r>
        <w:rPr>
          <w:color w:val="555B63"/>
          <w:sz w:val="18"/>
          <w:szCs w:val="18"/>
        </w:rPr>
        <w:t xml:space="preserve">ASAM/AAAP 2024; ASAM/ACMT 2025; Baweja JAACAP 2025 (outcomes data)</w:t>
      </w:r>
      <w:r>
        <w:rPr>
          <w:color w:val="1F4E79"/>
          <w:sz w:val="18"/>
          <w:szCs w:val="18"/>
        </w:rPr>
        <w:t xml:space="preserve">  [2, 3, 15]</w:t>
      </w:r>
    </w:p>
    <w:p>
      <w:pPr>
        <w:spacing w:after="20"/>
      </w:pPr>
      <w:r>
        <w:rPr>
          <w:b/>
          <w:bCs/>
          <w:color w:val="555B63"/>
          <w:sz w:val="18"/>
          <w:szCs w:val="18"/>
        </w:rPr>
        <w:t xml:space="preserve">Status: </w:t>
      </w:r>
      <w:r>
        <w:rPr>
          <w:color w:val="555B63"/>
          <w:sz w:val="18"/>
          <w:szCs w:val="18"/>
        </w:rPr>
        <w:t xml:space="preserve">Proposed institutional standard — no national mandate</w:t>
      </w:r>
    </w:p>
    <w:p>
      <w:pPr>
        <w:pBdr>
          <w:left w:val="single" w:color="1F4E79" w:sz="18" w:space="8"/>
        </w:pBdr>
        <w:shd w:fill="F5F3EE" w:color="auto" w:val="clear"/>
        <w:spacing w:after="160" w:before="80" w:line="288"/>
        <w:ind w:left="160" w:right="160"/>
      </w:pPr>
      <w:r>
        <w:rPr>
          <w:rFonts w:ascii="Cambria" w:cs="Cambria" w:eastAsia="Cambria" w:hAnsi="Cambria"/>
          <w:sz w:val="21"/>
          <w:szCs w:val="21"/>
        </w:rPr>
        <w:t xml:space="preserve">Substance use history: My provider is aware of my history of substance use and has considered it in prescribing this medication. I understand that my provider has chosen to use [extended-release / prodrug formulation] to reduce misuse risk. I agree to the enhanced monitoring plan described in this agreement. I understand that this agreement reflects my provider's care for my health, not a judgment about my character.</w:t>
      </w:r>
    </w:p>
    <w:p>
      <w:pPr>
        <w:pStyle w:val="Heading1"/>
        <w:keepNext/>
      </w:pPr>
      <w:r>
        <w:t xml:space="preserve">Section 5 — Acknowledgment and Signatures</w:t>
      </w:r>
    </w:p>
    <w:p>
      <w:pPr>
        <w:spacing w:after="120"/>
        <w:rPr>
          <w:i/>
          <w:iCs/>
        </w:rPr>
      </w:pPr>
      <w:r>
        <w:rPr>
          <w:i/>
          <w:iCs/>
        </w:rPr>
        <w:t xml:space="preserve">Acknowledgment that this is a clinical agreement, not a legal contract, and signatures stamped with the library version.</w:t>
      </w:r>
    </w:p>
    <w:p>
      <w:pPr>
        <w:pStyle w:val="Heading2"/>
        <w:keepNext/>
      </w:pPr>
      <w:r>
        <w:t xml:space="preserve">Acknowledgment</w:t>
      </w:r>
    </w:p>
    <w:p>
      <w:pPr>
        <w:spacing w:after="20"/>
      </w:pPr>
      <w:r>
        <w:rPr>
          <w:b/>
          <w:bCs/>
          <w:color w:val="555B63"/>
          <w:sz w:val="18"/>
          <w:szCs w:val="18"/>
        </w:rPr>
        <w:t xml:space="preserve">Block ID: </w:t>
      </w:r>
      <w:r>
        <w:rPr>
          <w:color w:val="555B63"/>
          <w:sz w:val="18"/>
          <w:szCs w:val="18"/>
        </w:rPr>
        <w:t xml:space="preserve">S5-FIXED-ACKNOWLEDGMENT</w:t>
      </w:r>
    </w:p>
    <w:p>
      <w:pPr>
        <w:spacing w:after="20"/>
      </w:pPr>
      <w:r>
        <w:rPr>
          <w:b/>
          <w:bCs/>
          <w:color w:val="555B63"/>
          <w:sz w:val="18"/>
          <w:szCs w:val="18"/>
        </w:rPr>
        <w:t xml:space="preserve">Inclusion rule: </w:t>
      </w:r>
      <w:r>
        <w:rPr>
          <w:color w:val="555B63"/>
          <w:sz w:val="18"/>
          <w:szCs w:val="18"/>
        </w:rPr>
        <w:t xml:space="preserve">Always included</w:t>
      </w:r>
    </w:p>
    <w:p>
      <w:pPr>
        <w:spacing w:after="20"/>
      </w:pPr>
      <w:r>
        <w:rPr>
          <w:b/>
          <w:bCs/>
          <w:color w:val="555B63"/>
          <w:sz w:val="18"/>
          <w:szCs w:val="18"/>
        </w:rPr>
        <w:t xml:space="preserve">Authority: </w:t>
      </w:r>
      <w:r>
        <w:rPr>
          <w:color w:val="555B63"/>
          <w:sz w:val="18"/>
          <w:szCs w:val="18"/>
        </w:rPr>
        <w:t xml:space="preserve">Institutional standard; CDC 2022</w:t>
      </w:r>
      <w:r>
        <w:rPr>
          <w:color w:val="1F4E79"/>
          <w:sz w:val="18"/>
          <w:szCs w:val="18"/>
        </w:rPr>
        <w:t xml:space="preserve">  [1]</w:t>
      </w:r>
    </w:p>
    <w:p>
      <w:pPr>
        <w:spacing w:after="20"/>
      </w:pPr>
      <w:r>
        <w:rPr>
          <w:b/>
          <w:bCs/>
          <w:color w:val="555B63"/>
          <w:sz w:val="18"/>
          <w:szCs w:val="18"/>
        </w:rPr>
        <w:t xml:space="preserve">Status: </w:t>
      </w:r>
      <w:r>
        <w:rPr>
          <w:color w:val="555B63"/>
          <w:sz w:val="18"/>
          <w:szCs w:val="18"/>
        </w:rPr>
        <w:t xml:space="preserve">Grounded in statute / guideline</w:t>
      </w:r>
    </w:p>
    <w:p>
      <w:pPr>
        <w:pBdr>
          <w:left w:val="single" w:color="1F4E79" w:sz="18" w:space="8"/>
        </w:pBdr>
        <w:shd w:fill="F5F3EE" w:color="auto" w:val="clear"/>
        <w:spacing w:after="0" w:before="80" w:line="288"/>
        <w:ind w:left="160" w:right="160"/>
      </w:pPr>
      <w:r>
        <w:rPr>
          <w:rFonts w:ascii="Cambria" w:cs="Cambria" w:eastAsia="Cambria" w:hAnsi="Cambria"/>
          <w:sz w:val="21"/>
          <w:szCs w:val="21"/>
        </w:rPr>
        <w:t xml:space="preserve">I have read this agreement and have had the opportunity to ask questions. I understand its contents and agree to its terms. I understand that this agreement may be updated at any time with my participation, and that I will be given a copy of any updated agreement to review before signing.</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 </w:t>
      </w:r>
    </w:p>
    <w:p>
      <w:pPr>
        <w:pBdr>
          <w:left w:val="single" w:color="1F4E79" w:sz="18" w:space="8"/>
        </w:pBdr>
        <w:shd w:fill="F5F3EE" w:color="auto" w:val="clear"/>
        <w:spacing w:after="160" w:before="0" w:line="288"/>
        <w:ind w:left="160" w:right="160"/>
      </w:pPr>
      <w:r>
        <w:rPr>
          <w:rFonts w:ascii="Cambria" w:cs="Cambria" w:eastAsia="Cambria" w:hAnsi="Cambria"/>
          <w:sz w:val="21"/>
          <w:szCs w:val="21"/>
        </w:rPr>
        <w:t xml:space="preserve">I understand that this agreement is a clinical document, not a legal contract, and that my provider retains clinical discretion at all times.</w:t>
      </w:r>
    </w:p>
    <w:p>
      <w:pPr>
        <w:pStyle w:val="Heading2"/>
        <w:keepNext/>
      </w:pPr>
      <w:r>
        <w:t xml:space="preserve">Signatures &amp; version stamp</w:t>
      </w:r>
    </w:p>
    <w:p>
      <w:pPr>
        <w:spacing w:after="20"/>
      </w:pPr>
      <w:r>
        <w:rPr>
          <w:b/>
          <w:bCs/>
          <w:color w:val="555B63"/>
          <w:sz w:val="18"/>
          <w:szCs w:val="18"/>
        </w:rPr>
        <w:t xml:space="preserve">Block ID: </w:t>
      </w:r>
      <w:r>
        <w:rPr>
          <w:color w:val="555B63"/>
          <w:sz w:val="18"/>
          <w:szCs w:val="18"/>
        </w:rPr>
        <w:t xml:space="preserve">S5-FIXED-SIGNATURES</w:t>
      </w:r>
    </w:p>
    <w:p>
      <w:pPr>
        <w:spacing w:after="20"/>
      </w:pPr>
      <w:r>
        <w:rPr>
          <w:b/>
          <w:bCs/>
          <w:color w:val="555B63"/>
          <w:sz w:val="18"/>
          <w:szCs w:val="18"/>
        </w:rPr>
        <w:t xml:space="preserve">Inclusion rule: </w:t>
      </w:r>
      <w:r>
        <w:rPr>
          <w:color w:val="555B63"/>
          <w:sz w:val="18"/>
          <w:szCs w:val="18"/>
        </w:rPr>
        <w:t xml:space="preserve">Always included</w:t>
      </w:r>
    </w:p>
    <w:p>
      <w:pPr>
        <w:spacing w:after="20"/>
      </w:pPr>
      <w:r>
        <w:rPr>
          <w:b/>
          <w:bCs/>
          <w:color w:val="555B63"/>
          <w:sz w:val="18"/>
          <w:szCs w:val="18"/>
        </w:rPr>
        <w:t xml:space="preserve">Authority: </w:t>
      </w:r>
      <w:r>
        <w:rPr>
          <w:color w:val="555B63"/>
          <w:sz w:val="18"/>
          <w:szCs w:val="18"/>
        </w:rPr>
        <w:t xml:space="preserve">Institutional standard</w:t>
      </w:r>
    </w:p>
    <w:p>
      <w:pPr>
        <w:spacing w:after="20"/>
      </w:pPr>
      <w:r>
        <w:rPr>
          <w:b/>
          <w:bCs/>
          <w:color w:val="555B63"/>
          <w:sz w:val="18"/>
          <w:szCs w:val="18"/>
        </w:rPr>
        <w:t xml:space="preserve">Status: </w:t>
      </w:r>
      <w:r>
        <w:rPr>
          <w:color w:val="555B63"/>
          <w:sz w:val="18"/>
          <w:szCs w:val="18"/>
        </w:rPr>
        <w:t xml:space="preserve">Grounded in statute / guideline</w:t>
      </w:r>
    </w:p>
    <w:p>
      <w:pPr>
        <w:pBdr>
          <w:left w:val="single" w:color="1F4E79" w:sz="18" w:space="8"/>
        </w:pBdr>
        <w:shd w:fill="F5F3EE" w:color="auto" w:val="clear"/>
        <w:spacing w:after="0" w:before="80" w:line="288"/>
        <w:ind w:left="160" w:right="160"/>
      </w:pPr>
      <w:r>
        <w:rPr>
          <w:rFonts w:ascii="Cambria" w:cs="Cambria" w:eastAsia="Cambria" w:hAnsi="Cambria"/>
          <w:sz w:val="21"/>
          <w:szCs w:val="21"/>
        </w:rPr>
        <w:t xml:space="preserve">Patient signature: _________________________ Date: _____________</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 </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Printed name: _________________________</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 </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Provider signature: _________________________ Date: _____________</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 </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Provider name and title: _________________________</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 </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Next scheduled review: _________________________</w:t>
      </w:r>
    </w:p>
    <w:p>
      <w:pPr>
        <w:pBdr>
          <w:left w:val="single" w:color="1F4E79" w:sz="18" w:space="8"/>
        </w:pBdr>
        <w:shd w:fill="F5F3EE" w:color="auto" w:val="clear"/>
        <w:spacing w:after="0" w:before="0" w:line="288"/>
        <w:ind w:left="160" w:right="160"/>
      </w:pPr>
      <w:r>
        <w:rPr>
          <w:rFonts w:ascii="Cambria" w:cs="Cambria" w:eastAsia="Cambria" w:hAnsi="Cambria"/>
          <w:sz w:val="21"/>
          <w:szCs w:val="21"/>
        </w:rPr>
        <w:t xml:space="preserve"> </w:t>
      </w:r>
    </w:p>
    <w:p>
      <w:pPr>
        <w:pBdr>
          <w:left w:val="single" w:color="1F4E79" w:sz="18" w:space="8"/>
        </w:pBdr>
        <w:shd w:fill="F5F3EE" w:color="auto" w:val="clear"/>
        <w:spacing w:after="160" w:before="0" w:line="288"/>
        <w:ind w:left="160" w:right="160"/>
      </w:pPr>
      <w:r>
        <w:rPr>
          <w:rFonts w:ascii="Cambria" w:cs="Cambria" w:eastAsia="Cambria" w:hAnsi="Cambria"/>
          <w:sz w:val="21"/>
          <w:szCs w:val="21"/>
        </w:rPr>
        <w:t xml:space="preserve">Contract version: v1.0.0 (2026-05-25) | Crystal Run Healthcare / Optum NY/NJ</w:t>
      </w:r>
    </w:p>
    <w:p>
      <w:pPr>
        <w:pStyle w:val="Heading1"/>
        <w:pageBreakBefore/>
      </w:pPr>
      <w:r>
        <w:t xml:space="preserve">References</w:t>
      </w:r>
    </w:p>
    <w:p>
      <w:pPr>
        <w:spacing w:after="100"/>
        <w:ind w:left="440" w:hanging="440"/>
      </w:pPr>
      <w:r>
        <w:rPr>
          <w:sz w:val="20"/>
          <w:szCs w:val="20"/>
        </w:rPr>
        <w:t xml:space="preserve">1.	Dowell D, Ragan KR, Jones CM, Baldwin GT, Chou R. CDC Clinical Practice Guideline for Prescribing Opioids for Pain — United States, 2022. MMWR Recomm Rep 2022;71(No. RR-3):1–95.</w:t>
      </w:r>
      <w:r>
        <w:rPr>
          <w:sz w:val="20"/>
          <w:szCs w:val="20"/>
        </w:rPr>
        <w:t xml:space="preserve"> </w:t>
      </w:r>
      <w:hyperlink w:history="1" r:id="rIdwnbkc74atitcom1thy60w">
        <w:r>
          <w:rPr>
            <w:rStyle w:val="Hyperlink"/>
            <w:sz w:val="18"/>
            <w:szCs w:val="18"/>
          </w:rPr>
          <w:t xml:space="preserve">https://www.cdc.gov/mmwr/volumes/71/rr/rr7103a1.htm</w:t>
        </w:r>
      </w:hyperlink>
    </w:p>
    <w:p>
      <w:pPr>
        <w:spacing w:after="100"/>
        <w:ind w:left="440" w:hanging="440"/>
      </w:pPr>
      <w:r>
        <w:rPr>
          <w:sz w:val="20"/>
          <w:szCs w:val="20"/>
        </w:rPr>
        <w:t xml:space="preserve">2.	ASAM and partner societies (incl. ACMT). Joint Clinical Practice Guideline on Benzodiazepine Tapering, 2025.</w:t>
      </w:r>
      <w:r>
        <w:rPr>
          <w:sz w:val="20"/>
          <w:szCs w:val="20"/>
        </w:rPr>
        <w:t xml:space="preserve"> </w:t>
      </w:r>
      <w:hyperlink w:history="1" r:id="rIdy40oa11in3xohijrewjz-">
        <w:r>
          <w:rPr>
            <w:rStyle w:val="Hyperlink"/>
            <w:sz w:val="18"/>
            <w:szCs w:val="18"/>
          </w:rPr>
          <w:t xml:space="preserve">https://www.asam.org/quality-care/clinical-guidelines</w:t>
        </w:r>
      </w:hyperlink>
    </w:p>
    <w:p>
      <w:pPr>
        <w:spacing w:after="100"/>
        <w:ind w:left="440" w:hanging="440"/>
      </w:pPr>
      <w:r>
        <w:rPr>
          <w:sz w:val="20"/>
          <w:szCs w:val="20"/>
        </w:rPr>
        <w:t xml:space="preserve">3.	ASAM / AAAP. Clinical Practice Guideline on the Management of Stimulant Use Disorder, 2024.</w:t>
      </w:r>
      <w:r>
        <w:rPr>
          <w:sz w:val="20"/>
          <w:szCs w:val="20"/>
        </w:rPr>
        <w:t xml:space="preserve"> </w:t>
      </w:r>
      <w:hyperlink w:history="1" r:id="rIdq6cx8uz7dxgtnryf6vrt-">
        <w:r>
          <w:rPr>
            <w:rStyle w:val="Hyperlink"/>
            <w:sz w:val="18"/>
            <w:szCs w:val="18"/>
          </w:rPr>
          <w:t xml:space="preserve">https://www.asam.org/quality-care/clinical-guidelines</w:t>
        </w:r>
      </w:hyperlink>
    </w:p>
    <w:p>
      <w:pPr>
        <w:spacing w:after="100"/>
        <w:ind w:left="440" w:hanging="440"/>
      </w:pPr>
      <w:r>
        <w:rPr>
          <w:sz w:val="20"/>
          <w:szCs w:val="20"/>
        </w:rPr>
        <w:t xml:space="preserve">4.	Chou R, Fanciullo GJ, Fine PG, et al. Clinical guidelines for the use of chronic opioid therapy in chronic noncancer pain (APS/AAPM). J Pain 2009;10(2):113–130.</w:t>
      </w:r>
      <w:r>
        <w:rPr>
          <w:sz w:val="20"/>
          <w:szCs w:val="20"/>
        </w:rPr>
        <w:t xml:space="preserve"> </w:t>
      </w:r>
      <w:hyperlink w:history="1" r:id="rIdivgrvrwml2tzna9ltgn4p">
        <w:r>
          <w:rPr>
            <w:rStyle w:val="Hyperlink"/>
            <w:sz w:val="18"/>
            <w:szCs w:val="18"/>
          </w:rPr>
          <w:t xml:space="preserve">https://doi.org/10.1016/j.jpain.2008.10.008</w:t>
        </w:r>
      </w:hyperlink>
    </w:p>
    <w:p>
      <w:pPr>
        <w:spacing w:after="100"/>
        <w:ind w:left="440" w:hanging="440"/>
      </w:pPr>
      <w:r>
        <w:rPr>
          <w:sz w:val="20"/>
          <w:szCs w:val="20"/>
        </w:rPr>
        <w:t xml:space="preserve">5.	VA/DoD Clinical Practice Guideline for the Use of Opioids in the Management of Chronic Pain, 2022.</w:t>
      </w:r>
      <w:r>
        <w:rPr>
          <w:sz w:val="20"/>
          <w:szCs w:val="20"/>
        </w:rPr>
        <w:t xml:space="preserve"> </w:t>
      </w:r>
      <w:hyperlink w:history="1" r:id="rId6ytqryws7saoxliqu1pea">
        <w:r>
          <w:rPr>
            <w:rStyle w:val="Hyperlink"/>
            <w:sz w:val="18"/>
            <w:szCs w:val="18"/>
          </w:rPr>
          <w:t xml:space="preserve">https://www.healthquality.va.gov/guidelines/pain/cot/</w:t>
        </w:r>
      </w:hyperlink>
    </w:p>
    <w:p>
      <w:pPr>
        <w:spacing w:after="100"/>
        <w:ind w:left="440" w:hanging="440"/>
      </w:pPr>
      <w:r>
        <w:rPr>
          <w:sz w:val="20"/>
          <w:szCs w:val="20"/>
        </w:rPr>
        <w:t xml:space="preserve">6.	American Academy of Family Physicians — guidance on chronic opioid therapy and avoiding patient dismissal (as cited in the module).</w:t>
      </w:r>
    </w:p>
    <w:p>
      <w:pPr>
        <w:spacing w:after="100"/>
        <w:ind w:left="440" w:hanging="440"/>
      </w:pPr>
      <w:r>
        <w:rPr>
          <w:sz w:val="20"/>
          <w:szCs w:val="20"/>
        </w:rPr>
        <w:t xml:space="preserve">7.	2023 American Geriatrics Society Beers Criteria® Update Expert Panel. American Geriatrics Society 2023 updated AGS Beers Criteria® for potentially inappropriate medication use in older adults. J Am Geriatr Soc 2023;71(7):2052–2081.</w:t>
      </w:r>
      <w:r>
        <w:rPr>
          <w:sz w:val="20"/>
          <w:szCs w:val="20"/>
        </w:rPr>
        <w:t xml:space="preserve"> </w:t>
      </w:r>
      <w:hyperlink w:history="1" r:id="rIdg0vl_4sdo5n8d5x21d9tr">
        <w:r>
          <w:rPr>
            <w:rStyle w:val="Hyperlink"/>
            <w:sz w:val="18"/>
            <w:szCs w:val="18"/>
          </w:rPr>
          <w:t xml:space="preserve">https://doi.org/10.1111/jgs.18372</w:t>
        </w:r>
      </w:hyperlink>
    </w:p>
    <w:p>
      <w:pPr>
        <w:spacing w:after="100"/>
        <w:ind w:left="440" w:hanging="440"/>
      </w:pPr>
      <w:r>
        <w:rPr>
          <w:sz w:val="20"/>
          <w:szCs w:val="20"/>
        </w:rPr>
        <w:t xml:space="preserve">8.	Donnelly K, et al. Benzodiazepines, Z-drugs and the risk of hip fracture: a systematic review and meta-analysis. PLoS One 2017.</w:t>
      </w:r>
    </w:p>
    <w:p>
      <w:pPr>
        <w:spacing w:after="100"/>
        <w:ind w:left="440" w:hanging="440"/>
      </w:pPr>
      <w:r>
        <w:rPr>
          <w:sz w:val="20"/>
          <w:szCs w:val="20"/>
        </w:rPr>
        <w:t xml:space="preserve">9.	Crowe SF, Stranks EK. The residual medium and long-term cognitive effects of benzodiazepine use: an updated meta-analysis. Arch Clin Neuropsychol 2018;33(7):901–911.</w:t>
      </w:r>
    </w:p>
    <w:p>
      <w:pPr>
        <w:spacing w:after="100"/>
        <w:ind w:left="440" w:hanging="440"/>
      </w:pPr>
      <w:r>
        <w:rPr>
          <w:sz w:val="20"/>
          <w:szCs w:val="20"/>
        </w:rPr>
        <w:t xml:space="preserve">10.	US FDA Drug Safety Communication (Aug 2016): FDA warns about serious risks and death when combining opioid pain or cough medicines with benzodiazepines; requires its strongest warning.</w:t>
      </w:r>
      <w:r>
        <w:rPr>
          <w:sz w:val="20"/>
          <w:szCs w:val="20"/>
        </w:rPr>
        <w:t xml:space="preserve"> </w:t>
      </w:r>
      <w:hyperlink w:history="1" r:id="rIdpirq9lrulvraogndquyum">
        <w:r>
          <w:rPr>
            <w:rStyle w:val="Hyperlink"/>
            <w:sz w:val="18"/>
            <w:szCs w:val="18"/>
          </w:rPr>
          <w:t xml:space="preserve">https://www.fda.gov/drugs/drug-safety-and-availability/fda-drug-safety-communication-fda-warns-about-serious-risks-and-death-when-combining-opioid-pain-or</w:t>
        </w:r>
      </w:hyperlink>
    </w:p>
    <w:p>
      <w:pPr>
        <w:spacing w:after="100"/>
        <w:ind w:left="440" w:hanging="440"/>
      </w:pPr>
      <w:r>
        <w:rPr>
          <w:sz w:val="20"/>
          <w:szCs w:val="20"/>
        </w:rPr>
        <w:t xml:space="preserve">11.	Hernandez I, He M, Brooks MM, Zhang Y. Exposure-response association between concurrent opioid and benzodiazepine use and risk of opioid-related overdose in Medicare Part D beneficiaries. JAMA Netw Open 2018;1(2):e180919.</w:t>
      </w:r>
      <w:r>
        <w:rPr>
          <w:sz w:val="20"/>
          <w:szCs w:val="20"/>
        </w:rPr>
        <w:t xml:space="preserve"> </w:t>
      </w:r>
      <w:hyperlink w:history="1" r:id="rIdrxxqvlasdezpy_hlgpdwn">
        <w:r>
          <w:rPr>
            <w:rStyle w:val="Hyperlink"/>
            <w:sz w:val="18"/>
            <w:szCs w:val="18"/>
          </w:rPr>
          <w:t xml:space="preserve">https://doi.org/10.1001/jamanetworkopen.2018.0919</w:t>
        </w:r>
      </w:hyperlink>
    </w:p>
    <w:p>
      <w:pPr>
        <w:spacing w:after="100"/>
        <w:ind w:left="440" w:hanging="440"/>
      </w:pPr>
      <w:r>
        <w:rPr>
          <w:sz w:val="20"/>
          <w:szCs w:val="20"/>
        </w:rPr>
        <w:t xml:space="preserve">12.	Dassanayake T, Michie P, Carter G, Jones A. Effects of benzodiazepines, antidepressants and opioids on driving: a systematic review and meta-analysis of epidemiological and experimental evidence. Drug Saf 2011;34(2):125–156.</w:t>
      </w:r>
    </w:p>
    <w:p>
      <w:pPr>
        <w:spacing w:after="100"/>
        <w:ind w:left="440" w:hanging="440"/>
      </w:pPr>
      <w:r>
        <w:rPr>
          <w:sz w:val="20"/>
          <w:szCs w:val="20"/>
        </w:rPr>
        <w:t xml:space="preserve">13.	Tran et al. JAMA Network Open 2024 — state-by-state driver medical reporting obligations (as cited in the module).</w:t>
      </w:r>
    </w:p>
    <w:p>
      <w:pPr>
        <w:spacing w:after="100"/>
        <w:ind w:left="440" w:hanging="440"/>
      </w:pPr>
      <w:r>
        <w:rPr>
          <w:sz w:val="20"/>
          <w:szCs w:val="20"/>
        </w:rPr>
        <w:t xml:space="preserve">14.	FAA (14 CFR Part 67) and FMCSA (49 CFR Part 391) medical standards for safety-sensitive occupations.</w:t>
      </w:r>
    </w:p>
    <w:p>
      <w:pPr>
        <w:spacing w:after="100"/>
        <w:ind w:left="440" w:hanging="440"/>
      </w:pPr>
      <w:r>
        <w:rPr>
          <w:sz w:val="20"/>
          <w:szCs w:val="20"/>
        </w:rPr>
        <w:t xml:space="preserve">15.	Baweja et al. J Am Acad Child Adolesc Psychiatry 2025 — outcomes data on stimulant prescribing with SUD history (as cited in the module).</w:t>
      </w:r>
    </w:p>
    <w:p>
      <w:pPr>
        <w:spacing w:after="100"/>
        <w:ind w:left="440" w:hanging="440"/>
      </w:pPr>
      <w:r>
        <w:rPr>
          <w:sz w:val="20"/>
          <w:szCs w:val="20"/>
        </w:rPr>
        <w:t xml:space="preserve">16.	American College of Occupational and Environmental Medicine — Opioid Treatment Agreement template.</w:t>
      </w:r>
    </w:p>
    <w:p>
      <w:pPr>
        <w:spacing w:after="100"/>
        <w:ind w:left="440" w:hanging="440"/>
      </w:pPr>
      <w:r>
        <w:rPr>
          <w:sz w:val="20"/>
          <w:szCs w:val="20"/>
        </w:rPr>
        <w:t xml:space="preserve">17.	21 CFR §1306.04 — Purpose of issue of prescription (legitimate medical purpose).</w:t>
      </w:r>
      <w:r>
        <w:rPr>
          <w:sz w:val="20"/>
          <w:szCs w:val="20"/>
        </w:rPr>
        <w:t xml:space="preserve"> </w:t>
      </w:r>
      <w:hyperlink w:history="1" r:id="rIdgy1_ro_9nwph0rh28fw3i">
        <w:r>
          <w:rPr>
            <w:rStyle w:val="Hyperlink"/>
            <w:sz w:val="18"/>
            <w:szCs w:val="18"/>
          </w:rPr>
          <w:t xml:space="preserve">https://www.law.cornell.edu/cfr/text/21/1306.04</w:t>
        </w:r>
      </w:hyperlink>
    </w:p>
    <w:p>
      <w:pPr>
        <w:spacing w:after="100"/>
        <w:ind w:left="440" w:hanging="440"/>
      </w:pPr>
      <w:r>
        <w:rPr>
          <w:sz w:val="20"/>
          <w:szCs w:val="20"/>
        </w:rPr>
        <w:t xml:space="preserve">18.	21 CFR §1306.12 — Refilling prescriptions; issuance of multiple prescriptions (up to 90-day supply).</w:t>
      </w:r>
      <w:r>
        <w:rPr>
          <w:sz w:val="20"/>
          <w:szCs w:val="20"/>
        </w:rPr>
        <w:t xml:space="preserve"> </w:t>
      </w:r>
      <w:hyperlink w:history="1" r:id="rId4egzr6ybr3b50-qgjpxjo">
        <w:r>
          <w:rPr>
            <w:rStyle w:val="Hyperlink"/>
            <w:sz w:val="18"/>
            <w:szCs w:val="18"/>
          </w:rPr>
          <w:t xml:space="preserve">https://www.law.cornell.edu/cfr/text/21/1306.12</w:t>
        </w:r>
      </w:hyperlink>
    </w:p>
    <w:p>
      <w:pPr>
        <w:spacing w:after="100"/>
        <w:ind w:left="440" w:hanging="440"/>
      </w:pPr>
      <w:r>
        <w:rPr>
          <w:sz w:val="20"/>
          <w:szCs w:val="20"/>
        </w:rPr>
        <w:t xml:space="preserve">19.	21 USC §841 — Prohibited acts A (unlawful distribution).</w:t>
      </w:r>
      <w:r>
        <w:rPr>
          <w:sz w:val="20"/>
          <w:szCs w:val="20"/>
        </w:rPr>
        <w:t xml:space="preserve"> </w:t>
      </w:r>
      <w:hyperlink w:history="1" r:id="rIda6jrttmhas-ftivy1x-gu">
        <w:r>
          <w:rPr>
            <w:rStyle w:val="Hyperlink"/>
            <w:sz w:val="18"/>
            <w:szCs w:val="18"/>
          </w:rPr>
          <w:t xml:space="preserve">https://www.law.cornell.edu/uscode/text/21/841</w:t>
        </w:r>
      </w:hyperlink>
    </w:p>
    <w:p>
      <w:pPr>
        <w:spacing w:after="100"/>
        <w:ind w:left="440" w:hanging="440"/>
      </w:pPr>
      <w:r>
        <w:rPr>
          <w:sz w:val="20"/>
          <w:szCs w:val="20"/>
        </w:rPr>
        <w:t xml:space="preserve">20.	New York Public Health Law §3343-a — Prescription Monitoring Program registry; duty to consult (I-STOP).</w:t>
      </w:r>
      <w:r>
        <w:rPr>
          <w:sz w:val="20"/>
          <w:szCs w:val="20"/>
        </w:rPr>
        <w:t xml:space="preserve"> </w:t>
      </w:r>
      <w:hyperlink w:history="1" r:id="rIdhymxkr1he_4r3t_o56d-p">
        <w:r>
          <w:rPr>
            <w:rStyle w:val="Hyperlink"/>
            <w:sz w:val="18"/>
            <w:szCs w:val="18"/>
          </w:rPr>
          <w:t xml:space="preserve">https://www.nysenate.gov/legislation/laws/PBH/3343-A</w:t>
        </w:r>
      </w:hyperlink>
    </w:p>
    <w:p>
      <w:pPr>
        <w:spacing w:after="100"/>
        <w:ind w:left="440" w:hanging="440"/>
      </w:pPr>
      <w:r>
        <w:rPr>
          <w:sz w:val="20"/>
          <w:szCs w:val="20"/>
        </w:rPr>
        <w:t xml:space="preserve">21.	N.J.S.A. 45:1-46.1 (P.L.2017, c.341) — PMP access requirements for practitioners.</w:t>
      </w:r>
      <w:r>
        <w:rPr>
          <w:sz w:val="20"/>
          <w:szCs w:val="20"/>
        </w:rPr>
        <w:t xml:space="preserve"> </w:t>
      </w:r>
      <w:hyperlink w:history="1" r:id="rId0smzlmvd5et2lvdwfpzja">
        <w:r>
          <w:rPr>
            <w:rStyle w:val="Hyperlink"/>
            <w:sz w:val="18"/>
            <w:szCs w:val="18"/>
          </w:rPr>
          <w:t xml:space="preserve">https://law.justia.com/codes/new-jersey/title-45/section-45-1-46-1/</w:t>
        </w:r>
      </w:hyperlink>
    </w:p>
    <w:p>
      <w:pPr>
        <w:spacing w:after="100"/>
        <w:ind w:left="440" w:hanging="440"/>
      </w:pPr>
      <w:r>
        <w:rPr>
          <w:sz w:val="20"/>
          <w:szCs w:val="20"/>
        </w:rPr>
        <w:t xml:space="preserve">22.	DEA consumer guidance on safe storage and disposal of controlled-substance medications.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Clause library v1.0.0 (2026-05-25)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mbria" w:cs="Cambria" w:eastAsia="Cambria" w:hAnsi="Cambria"/>
      <w:b/>
      <w:bCs/>
      <w:color w:val="1D232B"/>
      <w:sz w:val="44"/>
      <w:szCs w:val="44"/>
    </w:rPr>
  </w:style>
  <w:style w:type="paragraph" w:styleId="Heading1">
    <w:name w:val="Heading 1"/>
    <w:basedOn w:val="Normal"/>
    <w:next w:val="Normal"/>
    <w:qFormat/>
    <w:pPr>
      <w:spacing w:after="120" w:before="240"/>
      <w:outlineLvl w:val="0"/>
    </w:pPr>
    <w:rPr>
      <w:rFonts w:ascii="Cambria" w:cs="Cambria" w:eastAsia="Cambria" w:hAnsi="Cambria"/>
      <w:b/>
      <w:bCs/>
      <w:color w:val="1F4E79"/>
      <w:sz w:val="32"/>
      <w:szCs w:val="32"/>
    </w:rPr>
  </w:style>
  <w:style w:type="paragraph" w:styleId="Heading2">
    <w:name w:val="Heading 2"/>
    <w:basedOn w:val="Normal"/>
    <w:next w:val="Normal"/>
    <w:qFormat/>
    <w:pPr>
      <w:spacing w:after="60" w:before="240"/>
      <w:outlineLvl w:val="1"/>
    </w:pPr>
    <w:rPr>
      <w:b/>
      <w:bCs/>
      <w:color w:val="1D23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nbkc74atitcom1thy60w" Type="http://schemas.openxmlformats.org/officeDocument/2006/relationships/hyperlink" Target="https://www.cdc.gov/mmwr/volumes/71/rr/rr7103a1.htm" TargetMode="External"/><Relationship Id="rIdy40oa11in3xohijrewjz-" Type="http://schemas.openxmlformats.org/officeDocument/2006/relationships/hyperlink" Target="https://www.asam.org/quality-care/clinical-guidelines" TargetMode="External"/><Relationship Id="rIdq6cx8uz7dxgtnryf6vrt-" Type="http://schemas.openxmlformats.org/officeDocument/2006/relationships/hyperlink" Target="https://www.asam.org/quality-care/clinical-guidelines" TargetMode="External"/><Relationship Id="rIdivgrvrwml2tzna9ltgn4p" Type="http://schemas.openxmlformats.org/officeDocument/2006/relationships/hyperlink" Target="https://doi.org/10.1016/j.jpain.2008.10.008" TargetMode="External"/><Relationship Id="rId6ytqryws7saoxliqu1pea" Type="http://schemas.openxmlformats.org/officeDocument/2006/relationships/hyperlink" Target="https://www.healthquality.va.gov/guidelines/pain/cot/" TargetMode="External"/><Relationship Id="rIdg0vl_4sdo5n8d5x21d9tr" Type="http://schemas.openxmlformats.org/officeDocument/2006/relationships/hyperlink" Target="https://doi.org/10.1111/jgs.18372" TargetMode="External"/><Relationship Id="rIdpirq9lrulvraogndquyum" Type="http://schemas.openxmlformats.org/officeDocument/2006/relationships/hyperlink" Target="https://www.fda.gov/drugs/drug-safety-and-availability/fda-drug-safety-communication-fda-warns-about-serious-risks-and-death-when-combining-opioid-pain-or" TargetMode="External"/><Relationship Id="rIdrxxqvlasdezpy_hlgpdwn" Type="http://schemas.openxmlformats.org/officeDocument/2006/relationships/hyperlink" Target="https://doi.org/10.1001/jamanetworkopen.2018.0919" TargetMode="External"/><Relationship Id="rIdgy1_ro_9nwph0rh28fw3i" Type="http://schemas.openxmlformats.org/officeDocument/2006/relationships/hyperlink" Target="https://www.law.cornell.edu/cfr/text/21/1306.04" TargetMode="External"/><Relationship Id="rId4egzr6ybr3b50-qgjpxjo" Type="http://schemas.openxmlformats.org/officeDocument/2006/relationships/hyperlink" Target="https://www.law.cornell.edu/cfr/text/21/1306.12" TargetMode="External"/><Relationship Id="rIda6jrttmhas-ftivy1x-gu" Type="http://schemas.openxmlformats.org/officeDocument/2006/relationships/hyperlink" Target="https://www.law.cornell.edu/uscode/text/21/841" TargetMode="External"/><Relationship Id="rIdhymxkr1he_4r3t_o56d-p" Type="http://schemas.openxmlformats.org/officeDocument/2006/relationships/hyperlink" Target="https://www.nysenate.gov/legislation/laws/PBH/3343-A" TargetMode="External"/><Relationship Id="rId0smzlmvd5et2lvdwfpzja" Type="http://schemas.openxmlformats.org/officeDocument/2006/relationships/hyperlink" Target="https://law.justia.com/codes/new-jersey/title-45/section-45-1-46-1/"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Modular Controlled-Substance Prescribing Agreement — Clause Library</dc:title>
  <dc:creator>CS Agreement Builder</dc:creator>
  <cp:lastModifiedBy>Un-named</cp:lastModifiedBy>
  <cp:revision>1</cp:revision>
  <dcterms:created xsi:type="dcterms:W3CDTF">2026-10-20T20:31:36.485Z</dcterms:created>
  <dcterms:modified xsi:type="dcterms:W3CDTF">2026-10-20T20:31:36.485Z</dcterms:modified>
</cp:coreProperties>
</file>

<file path=docProps/custom.xml><?xml version="1.0" encoding="utf-8"?>
<Properties xmlns="http://schemas.openxmlformats.org/officeDocument/2006/custom-properties" xmlns:vt="http://schemas.openxmlformats.org/officeDocument/2006/docPropsVTypes"/>
</file>